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2F" w:rsidRDefault="009D5B50" w:rsidP="0035373D">
      <w:pPr>
        <w:ind w:left="-72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1143000</wp:posOffset>
                </wp:positionV>
                <wp:extent cx="4743450" cy="6191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19125"/>
                        </a:xfrm>
                        <a:prstGeom prst="rect">
                          <a:avLst/>
                        </a:prstGeom>
                        <a:solidFill>
                          <a:srgbClr val="FFFFFF"/>
                        </a:solidFill>
                        <a:ln w="9525">
                          <a:solidFill>
                            <a:schemeClr val="accent2">
                              <a:lumMod val="40000"/>
                              <a:lumOff val="60000"/>
                            </a:schemeClr>
                          </a:solidFill>
                          <a:miter lim="800000"/>
                          <a:headEnd/>
                          <a:tailEnd/>
                        </a:ln>
                      </wps:spPr>
                      <wps:txbx>
                        <w:txbxContent>
                          <w:p w:rsidR="00ED04AE" w:rsidRDefault="00ED04AE" w:rsidP="00ED04AE">
                            <w:pPr>
                              <w:ind w:left="-270"/>
                              <w:rPr>
                                <w:rFonts w:ascii="Arial" w:hAnsi="Arial" w:cs="Arial"/>
                                <w:b/>
                                <w:bCs/>
                              </w:rPr>
                            </w:pPr>
                            <w:r>
                              <w:rPr>
                                <w:rFonts w:ascii="Arial" w:hAnsi="Arial" w:cs="Arial"/>
                                <w:b/>
                                <w:bCs/>
                              </w:rPr>
                              <w:t xml:space="preserve">     </w:t>
                            </w:r>
                            <w:r w:rsidRPr="00ED04AE">
                              <w:rPr>
                                <w:rFonts w:ascii="Arial" w:hAnsi="Arial" w:cs="Arial"/>
                                <w:b/>
                                <w:bCs/>
                              </w:rPr>
                              <w:t>Evidence-based Basics on Nutraceuticals:</w:t>
                            </w:r>
                            <w:r w:rsidRPr="00ED04AE">
                              <w:rPr>
                                <w:rFonts w:ascii="Arial" w:hAnsi="Arial" w:cs="Arial"/>
                                <w:b/>
                                <w:bCs/>
                                <w:color w:val="0000FF"/>
                              </w:rPr>
                              <w:t xml:space="preserve"> </w:t>
                            </w:r>
                            <w:r>
                              <w:rPr>
                                <w:rFonts w:ascii="Arial" w:hAnsi="Arial" w:cs="Arial"/>
                                <w:b/>
                                <w:bCs/>
                              </w:rPr>
                              <w:t>Herbs, Minerals,</w:t>
                            </w:r>
                          </w:p>
                          <w:p w:rsidR="00ED04AE" w:rsidRPr="00ED04AE" w:rsidRDefault="00ED04AE" w:rsidP="00ED04AE">
                            <w:pPr>
                              <w:ind w:left="-270"/>
                              <w:rPr>
                                <w:rFonts w:ascii="Arial" w:hAnsi="Arial" w:cs="Arial"/>
                                <w:b/>
                                <w:bCs/>
                              </w:rPr>
                            </w:pPr>
                            <w:r>
                              <w:rPr>
                                <w:rFonts w:ascii="Arial" w:hAnsi="Arial" w:cs="Arial"/>
                                <w:b/>
                                <w:bCs/>
                              </w:rPr>
                              <w:t xml:space="preserve">     Vitamins, and </w:t>
                            </w:r>
                            <w:r w:rsidRPr="00ED04AE">
                              <w:rPr>
                                <w:rFonts w:ascii="Arial" w:hAnsi="Arial" w:cs="Arial"/>
                                <w:b/>
                                <w:bCs/>
                              </w:rPr>
                              <w:t>Supplements in Migraine Management</w:t>
                            </w:r>
                          </w:p>
                          <w:p w:rsidR="00E75F9D" w:rsidRPr="005A0AC9" w:rsidRDefault="00E75F9D" w:rsidP="005A0A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90pt;width:373.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" strokecolor="#e5b8b7 [1301]">
                <v:textbox>
                  <w:txbxContent>
                    <w:p w:rsidR="00ED04AE" w:rsidRDefault="00ED04AE" w:rsidP="00ED04AE">
                      <w:pPr>
                        <w:ind w:left="-270"/>
                        <w:rPr>
                          <w:rFonts w:ascii="Arial" w:hAnsi="Arial" w:cs="Arial"/>
                          <w:b/>
                          <w:bCs/>
                        </w:rPr>
                      </w:pPr>
                      <w:r>
                        <w:rPr>
                          <w:rFonts w:ascii="Arial" w:hAnsi="Arial" w:cs="Arial"/>
                          <w:b/>
                          <w:bCs/>
                        </w:rPr>
                        <w:t xml:space="preserve">     </w:t>
                      </w:r>
                      <w:r w:rsidRPr="00ED04AE">
                        <w:rPr>
                          <w:rFonts w:ascii="Arial" w:hAnsi="Arial" w:cs="Arial"/>
                          <w:b/>
                          <w:bCs/>
                        </w:rPr>
                        <w:t>Evidence-based Basics on Nutraceuticals:</w:t>
                      </w:r>
                      <w:r w:rsidRPr="00ED04AE">
                        <w:rPr>
                          <w:rFonts w:ascii="Arial" w:hAnsi="Arial" w:cs="Arial"/>
                          <w:b/>
                          <w:bCs/>
                          <w:color w:val="0000FF"/>
                        </w:rPr>
                        <w:t xml:space="preserve"> </w:t>
                      </w:r>
                      <w:r>
                        <w:rPr>
                          <w:rFonts w:ascii="Arial" w:hAnsi="Arial" w:cs="Arial"/>
                          <w:b/>
                          <w:bCs/>
                        </w:rPr>
                        <w:t>Herbs, Minerals,</w:t>
                      </w:r>
                    </w:p>
                    <w:p w:rsidR="00ED04AE" w:rsidRPr="00ED04AE" w:rsidRDefault="00ED04AE" w:rsidP="00ED04AE">
                      <w:pPr>
                        <w:ind w:left="-270"/>
                        <w:rPr>
                          <w:rFonts w:ascii="Arial" w:hAnsi="Arial" w:cs="Arial"/>
                          <w:b/>
                          <w:bCs/>
                        </w:rPr>
                      </w:pPr>
                      <w:r>
                        <w:rPr>
                          <w:rFonts w:ascii="Arial" w:hAnsi="Arial" w:cs="Arial"/>
                          <w:b/>
                          <w:bCs/>
                        </w:rPr>
                        <w:t xml:space="preserve">     Vitamins, and </w:t>
                      </w:r>
                      <w:r w:rsidRPr="00ED04AE">
                        <w:rPr>
                          <w:rFonts w:ascii="Arial" w:hAnsi="Arial" w:cs="Arial"/>
                          <w:b/>
                          <w:bCs/>
                        </w:rPr>
                        <w:t>Supplements in Migraine Management</w:t>
                      </w:r>
                    </w:p>
                    <w:p w:rsidR="00E75F9D" w:rsidRPr="005A0AC9" w:rsidRDefault="00E75F9D" w:rsidP="005A0AC9"/>
                  </w:txbxContent>
                </v:textbox>
              </v:shape>
            </w:pict>
          </mc:Fallback>
        </mc:AlternateContent>
      </w:r>
      <w:r w:rsidR="0035373D">
        <w:rPr>
          <w:noProof/>
        </w:rPr>
        <w:drawing>
          <wp:inline distT="0" distB="0" distL="0" distR="0">
            <wp:extent cx="5943600" cy="1683259"/>
            <wp:effectExtent l="19050" t="0" r="0" b="0"/>
            <wp:docPr id="2" name="Picture 8" descr="C:\Users\eadjemian\AppData\Local\Microsoft\Windows\Temporary Internet Files\Content.Word\INfo for 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djemian\AppData\Local\Microsoft\Windows\Temporary Internet Files\Content.Word\INfo for healthcare.jpg"/>
                    <pic:cNvPicPr>
                      <a:picLocks noChangeAspect="1" noChangeArrowheads="1"/>
                    </pic:cNvPicPr>
                  </pic:nvPicPr>
                  <pic:blipFill>
                    <a:blip r:embed="rId8" cstate="print"/>
                    <a:srcRect/>
                    <a:stretch>
                      <a:fillRect/>
                    </a:stretch>
                  </pic:blipFill>
                  <pic:spPr bwMode="auto">
                    <a:xfrm>
                      <a:off x="0" y="0"/>
                      <a:ext cx="5943600" cy="1683259"/>
                    </a:xfrm>
                    <a:prstGeom prst="rect">
                      <a:avLst/>
                    </a:prstGeom>
                    <a:noFill/>
                    <a:ln w="9525">
                      <a:noFill/>
                      <a:miter lim="800000"/>
                      <a:headEnd/>
                      <a:tailEnd/>
                    </a:ln>
                  </pic:spPr>
                </pic:pic>
              </a:graphicData>
            </a:graphic>
          </wp:inline>
        </w:drawing>
      </w:r>
    </w:p>
    <w:p w:rsidR="00E25792" w:rsidRDefault="00E25792" w:rsidP="00E25792">
      <w:pPr>
        <w:jc w:val="center"/>
        <w:rPr>
          <w:rFonts w:ascii="Arial" w:hAnsi="Arial" w:cs="Arial"/>
          <w:b/>
        </w:rPr>
      </w:pPr>
    </w:p>
    <w:p w:rsidR="00E25792" w:rsidRPr="001A6B0D" w:rsidRDefault="00E25792" w:rsidP="00E25792">
      <w:pPr>
        <w:jc w:val="center"/>
        <w:rPr>
          <w:rFonts w:ascii="Arial" w:hAnsi="Arial" w:cs="Arial"/>
          <w:b/>
        </w:rPr>
      </w:pPr>
    </w:p>
    <w:p w:rsidR="00E75F9D" w:rsidRPr="00ED04AE" w:rsidRDefault="00E75F9D" w:rsidP="00ED04AE">
      <w:pPr>
        <w:pStyle w:val="Header"/>
        <w:ind w:left="-270"/>
        <w:jc w:val="both"/>
        <w:rPr>
          <w:rFonts w:ascii="Arial" w:hAnsi="Arial" w:cs="Arial"/>
          <w:b/>
          <w:bCs/>
        </w:rPr>
      </w:pPr>
    </w:p>
    <w:p w:rsidR="00E75F9D" w:rsidRPr="00ED04AE" w:rsidRDefault="00E75F9D" w:rsidP="00ED04AE">
      <w:pPr>
        <w:pStyle w:val="Header"/>
        <w:ind w:left="-270"/>
        <w:jc w:val="both"/>
        <w:rPr>
          <w:rFonts w:ascii="Arial" w:hAnsi="Arial" w:cs="Arial"/>
          <w:b/>
          <w:bCs/>
        </w:rPr>
      </w:pPr>
      <w:r w:rsidRPr="00ED04AE">
        <w:rPr>
          <w:rFonts w:ascii="Arial" w:hAnsi="Arial" w:cs="Arial"/>
          <w:b/>
          <w:bCs/>
        </w:rPr>
        <w:t>Stewart J. Tepper, MD</w:t>
      </w:r>
    </w:p>
    <w:p w:rsidR="00E75F9D" w:rsidRDefault="00E75F9D" w:rsidP="00ED04AE">
      <w:pPr>
        <w:pStyle w:val="Header"/>
        <w:ind w:left="-270"/>
        <w:jc w:val="both"/>
        <w:rPr>
          <w:rFonts w:ascii="Arial" w:hAnsi="Arial" w:cs="Arial"/>
        </w:rPr>
      </w:pPr>
      <w:r w:rsidRPr="00AC42E4">
        <w:rPr>
          <w:rFonts w:ascii="Arial" w:hAnsi="Arial" w:cs="Arial"/>
          <w:i/>
        </w:rPr>
        <w:t>Professor of Neurology</w:t>
      </w:r>
      <w:r w:rsidR="00BF1AF0">
        <w:rPr>
          <w:rFonts w:ascii="Arial" w:hAnsi="Arial" w:cs="Arial"/>
          <w:i/>
        </w:rPr>
        <w:t>, Geisel School of Medicine at Dartmouth, Hanover, New Hampshire</w:t>
      </w:r>
    </w:p>
    <w:p w:rsidR="00B34E59" w:rsidRPr="00ED04AE" w:rsidRDefault="00B34E59" w:rsidP="00ED04AE">
      <w:pPr>
        <w:pStyle w:val="Header"/>
        <w:ind w:left="-270"/>
        <w:jc w:val="both"/>
        <w:rPr>
          <w:rFonts w:ascii="Arial" w:hAnsi="Arial" w:cs="Arial"/>
        </w:rPr>
      </w:pPr>
    </w:p>
    <w:p w:rsidR="00E75F9D" w:rsidRPr="00ED04AE" w:rsidRDefault="00E75F9D" w:rsidP="00ED04AE">
      <w:pPr>
        <w:autoSpaceDE w:val="0"/>
        <w:autoSpaceDN w:val="0"/>
        <w:adjustRightInd w:val="0"/>
        <w:ind w:left="-270"/>
        <w:jc w:val="both"/>
        <w:rPr>
          <w:rFonts w:ascii="Arial" w:hAnsi="Arial" w:cs="Arial"/>
        </w:rPr>
      </w:pPr>
      <w:r w:rsidRPr="00ED04AE">
        <w:rPr>
          <w:rFonts w:ascii="Arial" w:hAnsi="Arial" w:cs="Arial"/>
        </w:rPr>
        <w:t>Is there a place for nutraceuticals in the management of migraine?  This document reviews the randomized, controlled trials (RCT) for migraine for various minerals, herbs, vitamins and supplements, and gives therapeutic recommendations for the interested clinician.</w:t>
      </w:r>
    </w:p>
    <w:p w:rsidR="00ED04AE" w:rsidRPr="00ED04AE" w:rsidRDefault="00ED04AE" w:rsidP="00ED04AE">
      <w:pPr>
        <w:pStyle w:val="NoSpacing"/>
        <w:ind w:left="-270"/>
        <w:jc w:val="both"/>
        <w:rPr>
          <w:rFonts w:ascii="Arial" w:hAnsi="Arial" w:cs="Arial"/>
        </w:rPr>
      </w:pPr>
    </w:p>
    <w:p w:rsidR="00E75F9D" w:rsidRDefault="00E75F9D" w:rsidP="00ED04AE">
      <w:pPr>
        <w:pStyle w:val="NoSpacing"/>
        <w:ind w:left="-270"/>
        <w:jc w:val="both"/>
        <w:rPr>
          <w:rFonts w:ascii="Arial" w:hAnsi="Arial" w:cs="Arial"/>
          <w:b/>
        </w:rPr>
      </w:pPr>
      <w:r w:rsidRPr="00ED04AE">
        <w:rPr>
          <w:rFonts w:ascii="Arial" w:hAnsi="Arial" w:cs="Arial"/>
          <w:b/>
        </w:rPr>
        <w:t>Rationale for Use</w:t>
      </w:r>
    </w:p>
    <w:p w:rsidR="00024D1A" w:rsidRPr="00ED04AE" w:rsidRDefault="00024D1A" w:rsidP="00ED04AE">
      <w:pPr>
        <w:pStyle w:val="NoSpacing"/>
        <w:ind w:left="-270"/>
        <w:jc w:val="both"/>
        <w:rPr>
          <w:rFonts w:ascii="Arial" w:hAnsi="Arial" w:cs="Arial"/>
          <w:b/>
        </w:rPr>
      </w:pPr>
    </w:p>
    <w:p w:rsidR="00E75F9D" w:rsidRPr="00ED04AE" w:rsidRDefault="00E75F9D" w:rsidP="00ED04AE">
      <w:pPr>
        <w:pStyle w:val="NoSpacing"/>
        <w:ind w:left="-270"/>
        <w:jc w:val="both"/>
        <w:rPr>
          <w:rFonts w:ascii="Arial" w:hAnsi="Arial" w:cs="Arial"/>
        </w:rPr>
      </w:pPr>
      <w:r w:rsidRPr="00ED04AE">
        <w:rPr>
          <w:rFonts w:ascii="Arial" w:hAnsi="Arial" w:cs="Arial"/>
        </w:rPr>
        <w:t>There are two basic potential mechanisms for the usually tried supplements for migraine prevention, 1) to reduce migraine brain neuronal hyperexcitability, or 2) to improve energy metabolism. Low ionized magnesium levels, abnormal neuronal membrane ion channels (</w:t>
      </w:r>
      <w:proofErr w:type="spellStart"/>
      <w:r w:rsidRPr="00ED04AE">
        <w:rPr>
          <w:rFonts w:ascii="Arial" w:hAnsi="Arial" w:cs="Arial"/>
        </w:rPr>
        <w:t>channelopathies</w:t>
      </w:r>
      <w:proofErr w:type="spellEnd"/>
      <w:r w:rsidRPr="00ED04AE">
        <w:rPr>
          <w:rFonts w:ascii="Arial" w:hAnsi="Arial" w:cs="Arial"/>
        </w:rPr>
        <w:t xml:space="preserve">) with resultant increased excitatory glutamatergic activity, and mitochondrial dysfunction with abnormal energy metabolism are linked to the genesis of migraine.  Low magnesium and </w:t>
      </w:r>
      <w:proofErr w:type="spellStart"/>
      <w:r w:rsidRPr="00ED04AE">
        <w:rPr>
          <w:rFonts w:ascii="Arial" w:hAnsi="Arial" w:cs="Arial"/>
        </w:rPr>
        <w:t>channelopathies</w:t>
      </w:r>
      <w:proofErr w:type="spellEnd"/>
      <w:r w:rsidRPr="00ED04AE">
        <w:rPr>
          <w:rFonts w:ascii="Arial" w:hAnsi="Arial" w:cs="Arial"/>
        </w:rPr>
        <w:t xml:space="preserve"> are related; riboflavin or coenzyme Q10 can be used to treat </w:t>
      </w:r>
      <w:proofErr w:type="spellStart"/>
      <w:r w:rsidRPr="00ED04AE">
        <w:rPr>
          <w:rFonts w:ascii="Arial" w:hAnsi="Arial" w:cs="Arial"/>
        </w:rPr>
        <w:t>mitochondriopathy</w:t>
      </w:r>
      <w:proofErr w:type="spellEnd"/>
      <w:r w:rsidRPr="00ED04AE">
        <w:rPr>
          <w:rFonts w:ascii="Arial" w:hAnsi="Arial" w:cs="Arial"/>
        </w:rPr>
        <w:t xml:space="preserve">; </w:t>
      </w:r>
      <w:proofErr w:type="spellStart"/>
      <w:r w:rsidRPr="00ED04AE">
        <w:rPr>
          <w:rFonts w:ascii="Arial" w:hAnsi="Arial" w:cs="Arial"/>
        </w:rPr>
        <w:t>petasites</w:t>
      </w:r>
      <w:proofErr w:type="spellEnd"/>
      <w:r w:rsidRPr="00ED04AE">
        <w:rPr>
          <w:rFonts w:ascii="Arial" w:hAnsi="Arial" w:cs="Arial"/>
        </w:rPr>
        <w:t xml:space="preserve"> may decrease the meningeal inflammatory mechanisms of migraine pain.</w:t>
      </w:r>
    </w:p>
    <w:p w:rsidR="00E75F9D" w:rsidRPr="00ED04AE" w:rsidRDefault="00E75F9D" w:rsidP="00ED04AE">
      <w:pPr>
        <w:pStyle w:val="NoSpacing"/>
        <w:ind w:left="-270"/>
        <w:jc w:val="both"/>
        <w:rPr>
          <w:rFonts w:ascii="Arial" w:hAnsi="Arial" w:cs="Arial"/>
        </w:rPr>
      </w:pPr>
    </w:p>
    <w:p w:rsidR="00E75F9D" w:rsidRDefault="00E75F9D" w:rsidP="00ED04AE">
      <w:pPr>
        <w:pStyle w:val="NoSpacing"/>
        <w:ind w:left="-270"/>
        <w:jc w:val="both"/>
        <w:rPr>
          <w:rFonts w:ascii="Arial" w:hAnsi="Arial" w:cs="Arial"/>
          <w:b/>
        </w:rPr>
      </w:pPr>
      <w:r w:rsidRPr="00ED04AE">
        <w:rPr>
          <w:rFonts w:ascii="Arial" w:hAnsi="Arial" w:cs="Arial"/>
          <w:b/>
        </w:rPr>
        <w:t>Magnesium</w:t>
      </w:r>
    </w:p>
    <w:p w:rsidR="00024D1A" w:rsidRPr="00ED04AE" w:rsidRDefault="00024D1A" w:rsidP="00ED04AE">
      <w:pPr>
        <w:pStyle w:val="NoSpacing"/>
        <w:ind w:left="-270"/>
        <w:jc w:val="both"/>
        <w:rPr>
          <w:rFonts w:ascii="Arial" w:hAnsi="Arial" w:cs="Arial"/>
          <w:b/>
        </w:rPr>
      </w:pPr>
    </w:p>
    <w:p w:rsidR="00E75F9D" w:rsidRPr="00ED04AE" w:rsidRDefault="00E75F9D" w:rsidP="00ED04AE">
      <w:pPr>
        <w:pStyle w:val="NoSpacing"/>
        <w:ind w:left="-270"/>
        <w:jc w:val="both"/>
        <w:rPr>
          <w:rFonts w:ascii="Arial" w:hAnsi="Arial" w:cs="Arial"/>
        </w:rPr>
      </w:pPr>
      <w:r w:rsidRPr="00ED04AE">
        <w:rPr>
          <w:rFonts w:ascii="Arial" w:hAnsi="Arial" w:cs="Arial"/>
        </w:rPr>
        <w:t>Low magnesium is linked to influx of calcium into neurons, with resultant glutamate release into the synapse. Low magnesium at the synapse causes post-synaptic neuronal excitation. Multiple studies demonstrate low magnesium in migraine patients.</w:t>
      </w:r>
      <w:r w:rsidR="00ED04AE">
        <w:rPr>
          <w:rFonts w:ascii="Arial" w:hAnsi="Arial" w:cs="Arial"/>
        </w:rPr>
        <w:t xml:space="preserve"> </w:t>
      </w:r>
      <w:r w:rsidRPr="00ED04AE">
        <w:rPr>
          <w:rFonts w:ascii="Arial" w:hAnsi="Arial" w:cs="Arial"/>
        </w:rPr>
        <w:t xml:space="preserve">Trials with magnesium supplementation for migraine prophylaxis have yielded mixed results, with the positive studies in patients with aura and with </w:t>
      </w:r>
      <w:proofErr w:type="spellStart"/>
      <w:r w:rsidRPr="00ED04AE">
        <w:rPr>
          <w:rFonts w:ascii="Arial" w:hAnsi="Arial" w:cs="Arial"/>
        </w:rPr>
        <w:t>perimenstrual</w:t>
      </w:r>
      <w:proofErr w:type="spellEnd"/>
      <w:r w:rsidRPr="00ED04AE">
        <w:rPr>
          <w:rFonts w:ascii="Arial" w:hAnsi="Arial" w:cs="Arial"/>
        </w:rPr>
        <w:t xml:space="preserve"> migraine. Parenteral magnesium (1 gram IV) can terminate migraine in patients with low ionized magnesium levels, and in those with aura.  The recommended dose is 400–600 mg/day of chelated magnesium (</w:t>
      </w:r>
      <w:proofErr w:type="spellStart"/>
      <w:r w:rsidRPr="00ED04AE">
        <w:rPr>
          <w:rFonts w:ascii="Arial" w:hAnsi="Arial" w:cs="Arial"/>
        </w:rPr>
        <w:t>taurate</w:t>
      </w:r>
      <w:proofErr w:type="spellEnd"/>
      <w:r w:rsidRPr="00ED04AE">
        <w:rPr>
          <w:rFonts w:ascii="Arial" w:hAnsi="Arial" w:cs="Arial"/>
        </w:rPr>
        <w:t xml:space="preserve">, </w:t>
      </w:r>
      <w:proofErr w:type="spellStart"/>
      <w:r w:rsidRPr="00ED04AE">
        <w:rPr>
          <w:rFonts w:ascii="Arial" w:hAnsi="Arial" w:cs="Arial"/>
        </w:rPr>
        <w:t>glycinate</w:t>
      </w:r>
      <w:proofErr w:type="spellEnd"/>
      <w:r w:rsidRPr="00ED04AE">
        <w:rPr>
          <w:rFonts w:ascii="Arial" w:hAnsi="Arial" w:cs="Arial"/>
        </w:rPr>
        <w:t xml:space="preserve">, oxide, </w:t>
      </w:r>
      <w:proofErr w:type="spellStart"/>
      <w:r w:rsidRPr="00ED04AE">
        <w:rPr>
          <w:rFonts w:ascii="Arial" w:hAnsi="Arial" w:cs="Arial"/>
        </w:rPr>
        <w:t>etc</w:t>
      </w:r>
      <w:proofErr w:type="spellEnd"/>
      <w:r w:rsidRPr="00ED04AE">
        <w:rPr>
          <w:rFonts w:ascii="Arial" w:hAnsi="Arial" w:cs="Arial"/>
        </w:rPr>
        <w:t>) for at least 3 to 4 months.  Diarrhea limits oral magnesium supplementation clinically.</w:t>
      </w:r>
      <w:r w:rsidR="00BF1AF0">
        <w:rPr>
          <w:rFonts w:ascii="Arial" w:hAnsi="Arial" w:cs="Arial"/>
        </w:rPr>
        <w:t xml:space="preserve"> Although magnesium is quite safe for use most of the time, as of May 2013, magnesium sulfate has been rated Category D for use in pregnancy, meaning “positive evidence of risk to humans from human studies or post-marketing data”, due to studies showing bone problems for the developing fetus. </w:t>
      </w:r>
    </w:p>
    <w:p w:rsidR="00E75F9D" w:rsidRDefault="00E75F9D" w:rsidP="00ED04AE">
      <w:pPr>
        <w:pStyle w:val="NoSpacing"/>
        <w:ind w:left="-270"/>
        <w:jc w:val="both"/>
        <w:rPr>
          <w:rFonts w:ascii="Arial" w:hAnsi="Arial" w:cs="Arial"/>
          <w:b/>
          <w:bCs/>
        </w:rPr>
      </w:pPr>
    </w:p>
    <w:p w:rsidR="00E75F9D" w:rsidRDefault="00E75F9D" w:rsidP="00ED04AE">
      <w:pPr>
        <w:pStyle w:val="NoSpacing"/>
        <w:ind w:left="-270"/>
        <w:jc w:val="both"/>
        <w:rPr>
          <w:rFonts w:ascii="Arial" w:hAnsi="Arial" w:cs="Arial"/>
          <w:b/>
          <w:bCs/>
        </w:rPr>
      </w:pPr>
      <w:r w:rsidRPr="00ED04AE">
        <w:rPr>
          <w:rFonts w:ascii="Arial" w:hAnsi="Arial" w:cs="Arial"/>
          <w:b/>
          <w:bCs/>
        </w:rPr>
        <w:t>Riboflavin (Vitamin B2)</w:t>
      </w:r>
    </w:p>
    <w:p w:rsidR="00024D1A" w:rsidRPr="00ED04AE" w:rsidRDefault="00024D1A" w:rsidP="00ED04AE">
      <w:pPr>
        <w:pStyle w:val="NoSpacing"/>
        <w:ind w:left="-270"/>
        <w:jc w:val="both"/>
        <w:rPr>
          <w:rFonts w:ascii="Arial" w:hAnsi="Arial" w:cs="Arial"/>
          <w:b/>
          <w:bCs/>
        </w:rPr>
      </w:pPr>
    </w:p>
    <w:p w:rsidR="00E75F9D" w:rsidRPr="00ED04AE" w:rsidRDefault="00E75F9D" w:rsidP="00ED04AE">
      <w:pPr>
        <w:pStyle w:val="NoSpacing"/>
        <w:ind w:left="-270"/>
        <w:jc w:val="both"/>
        <w:rPr>
          <w:rFonts w:ascii="Arial" w:hAnsi="Arial" w:cs="Arial"/>
          <w:vanish/>
        </w:rPr>
      </w:pPr>
      <w:r w:rsidRPr="00ED04AE">
        <w:rPr>
          <w:rFonts w:ascii="Arial" w:hAnsi="Arial" w:cs="Arial"/>
        </w:rPr>
        <w:t>Riboflavin is a cofactor in the Krebs cycle during respiration, and several studies suggest mitochondrial dysfunction in some migraine patients, with abnormal phosphorylation of ADP to ATP.  Thus, giving B2 could theoretically improve energy metabolism.</w:t>
      </w:r>
      <w:r w:rsidR="00ED04AE">
        <w:rPr>
          <w:rFonts w:ascii="Arial" w:hAnsi="Arial" w:cs="Arial"/>
        </w:rPr>
        <w:t xml:space="preserve"> </w:t>
      </w:r>
      <w:r w:rsidR="00BF1AF0">
        <w:rPr>
          <w:rFonts w:ascii="Arial" w:hAnsi="Arial" w:cs="Arial"/>
        </w:rPr>
        <w:t xml:space="preserve">There are four </w:t>
      </w:r>
      <w:r w:rsidRPr="00ED04AE">
        <w:rPr>
          <w:rFonts w:ascii="Arial" w:hAnsi="Arial" w:cs="Arial"/>
        </w:rPr>
        <w:t xml:space="preserve">RCTs on B2 for migraine prevention. In the first, in adults, 400 mg riboflavin taken daily for 3 months was superior to placebo for reduction of migraine frequency and headache days. Two patients had diarrhea and polyuria.  In the second, also in adults, 400 mg of B2 (combined with feverfew and low dose magnesium) was no different than 25 mg of B2, which was selected as a placebo dose. In both dose groups and both studies, &gt; 40% of patients had </w:t>
      </w:r>
      <w:r w:rsidRPr="00ED04AE">
        <w:rPr>
          <w:rFonts w:ascii="Arial" w:eastAsia="Arial" w:hAnsi="Arial" w:cs="Arial"/>
          <w:lang w:val="en-GB"/>
        </w:rPr>
        <w:t>≥</w:t>
      </w:r>
    </w:p>
    <w:p w:rsidR="00CA10EB" w:rsidRPr="00A77E23" w:rsidRDefault="00E75F9D" w:rsidP="00CA10EB">
      <w:pPr>
        <w:autoSpaceDE w:val="0"/>
        <w:autoSpaceDN w:val="0"/>
        <w:adjustRightInd w:val="0"/>
        <w:rPr>
          <w:rFonts w:ascii="Arial" w:eastAsiaTheme="minorHAnsi" w:hAnsi="Arial" w:cs="Arial"/>
        </w:rPr>
      </w:pPr>
      <w:r w:rsidRPr="00ED04AE">
        <w:rPr>
          <w:rFonts w:ascii="Arial" w:hAnsi="Arial" w:cs="Arial"/>
        </w:rPr>
        <w:t xml:space="preserve"> 50% reduction in migraine frequency. Thus, it was unclear whether 25 mg B2 is an active dose, or whether B2 was no more effective than placebo. Two pediatric RCTs were both negative. Thus, 3 of 4 RCTs with B2 weigh against effectiveness.</w:t>
      </w:r>
      <w:r w:rsidR="009775D9">
        <w:rPr>
          <w:rFonts w:ascii="Arial" w:hAnsi="Arial" w:cs="Arial"/>
        </w:rPr>
        <w:t xml:space="preserve"> On additional study suggested B2 might work in those with a mitochondrial haplotype associated with low mitochondrial function. </w:t>
      </w:r>
      <w:r w:rsidR="009775D9" w:rsidRPr="00A77E23">
        <w:rPr>
          <w:rFonts w:ascii="Arial" w:eastAsiaTheme="minorHAnsi" w:hAnsi="Arial" w:cs="Arial"/>
        </w:rPr>
        <w:t xml:space="preserve">The </w:t>
      </w:r>
      <w:r w:rsidR="00CA10EB">
        <w:rPr>
          <w:rFonts w:ascii="Arial" w:eastAsiaTheme="minorHAnsi" w:hAnsi="Arial" w:cs="Arial"/>
        </w:rPr>
        <w:t>Canadian Headache Society Guidelines strongly recommend</w:t>
      </w:r>
      <w:r w:rsidR="00A77E23">
        <w:rPr>
          <w:rFonts w:ascii="Arial" w:eastAsiaTheme="minorHAnsi" w:hAnsi="Arial" w:cs="Arial"/>
        </w:rPr>
        <w:t xml:space="preserve"> B2 for migraine prevention, which they base on the favorable adverse event profile, despite the conflicting and low quality evidence for its use.     </w:t>
      </w:r>
    </w:p>
    <w:p w:rsidR="00E75F9D" w:rsidRPr="00ED04AE" w:rsidRDefault="00E75F9D" w:rsidP="00ED04AE">
      <w:pPr>
        <w:pStyle w:val="NoSpacing"/>
        <w:ind w:left="-270"/>
        <w:jc w:val="both"/>
        <w:rPr>
          <w:rFonts w:ascii="Arial" w:hAnsi="Arial" w:cs="Arial"/>
          <w:b/>
        </w:rPr>
      </w:pPr>
    </w:p>
    <w:p w:rsidR="00E75F9D" w:rsidRDefault="00E75F9D" w:rsidP="00ED04AE">
      <w:pPr>
        <w:pStyle w:val="NoSpacing"/>
        <w:ind w:left="-270"/>
        <w:jc w:val="both"/>
        <w:rPr>
          <w:rFonts w:ascii="Arial" w:hAnsi="Arial" w:cs="Arial"/>
          <w:b/>
        </w:rPr>
      </w:pPr>
      <w:r w:rsidRPr="00ED04AE">
        <w:rPr>
          <w:rFonts w:ascii="Arial" w:hAnsi="Arial" w:cs="Arial"/>
          <w:b/>
        </w:rPr>
        <w:t>Coenzyme Q10 (CoQ10)</w:t>
      </w:r>
    </w:p>
    <w:p w:rsidR="00024D1A" w:rsidRPr="00ED04AE" w:rsidRDefault="00024D1A" w:rsidP="00ED04AE">
      <w:pPr>
        <w:pStyle w:val="NoSpacing"/>
        <w:ind w:left="-270"/>
        <w:jc w:val="both"/>
        <w:rPr>
          <w:rFonts w:ascii="Arial" w:hAnsi="Arial" w:cs="Arial"/>
          <w:b/>
        </w:rPr>
      </w:pPr>
    </w:p>
    <w:p w:rsidR="00E75F9D" w:rsidRPr="00ED04AE" w:rsidRDefault="00E75F9D" w:rsidP="00ED04AE">
      <w:pPr>
        <w:pStyle w:val="NoSpacing"/>
        <w:ind w:left="-270"/>
        <w:jc w:val="both"/>
        <w:rPr>
          <w:rFonts w:ascii="Arial" w:hAnsi="Arial" w:cs="Arial"/>
          <w:vanish/>
        </w:rPr>
      </w:pPr>
      <w:r w:rsidRPr="00ED04AE">
        <w:rPr>
          <w:rFonts w:ascii="Arial" w:hAnsi="Arial" w:cs="Arial"/>
        </w:rPr>
        <w:t xml:space="preserve">CoQ10 transfers electrons in the electron transport chain, so it can theoretically treat </w:t>
      </w:r>
      <w:proofErr w:type="spellStart"/>
      <w:r w:rsidRPr="00ED04AE">
        <w:rPr>
          <w:rFonts w:ascii="Arial" w:hAnsi="Arial" w:cs="Arial"/>
        </w:rPr>
        <w:t>mitochondriopathy</w:t>
      </w:r>
      <w:proofErr w:type="spellEnd"/>
      <w:r w:rsidRPr="00ED04AE">
        <w:rPr>
          <w:rFonts w:ascii="Arial" w:hAnsi="Arial" w:cs="Arial"/>
        </w:rPr>
        <w:t xml:space="preserve">. One RCT of 42 patients found 100 mg TID of CoQ10 for 3 months superior to placebo; 48% of subjects had </w:t>
      </w:r>
      <w:r w:rsidRPr="00ED04AE">
        <w:rPr>
          <w:rFonts w:ascii="Arial" w:eastAsia="Arial" w:hAnsi="Arial" w:cs="Arial"/>
          <w:lang w:val="en-GB"/>
        </w:rPr>
        <w:t>≥</w:t>
      </w:r>
    </w:p>
    <w:p w:rsidR="00E75F9D" w:rsidRPr="00ED04AE" w:rsidRDefault="00E75F9D" w:rsidP="00ED04AE">
      <w:pPr>
        <w:pStyle w:val="NoSpacing"/>
        <w:ind w:left="-270"/>
        <w:jc w:val="both"/>
        <w:rPr>
          <w:rFonts w:ascii="Arial" w:hAnsi="Arial" w:cs="Arial"/>
        </w:rPr>
      </w:pPr>
      <w:r w:rsidRPr="00ED04AE">
        <w:rPr>
          <w:rFonts w:ascii="Arial" w:hAnsi="Arial" w:cs="Arial"/>
        </w:rPr>
        <w:t xml:space="preserve"> 50% reduction in attack frequency. In another study of 1,478 migraine patients from 3-22 years old, low CoQ10 levels occurred in 33%. </w:t>
      </w:r>
      <w:proofErr w:type="spellStart"/>
      <w:r w:rsidRPr="00ED04AE">
        <w:rPr>
          <w:rFonts w:ascii="Arial" w:hAnsi="Arial" w:cs="Arial"/>
        </w:rPr>
        <w:t>Repleted</w:t>
      </w:r>
      <w:proofErr w:type="spellEnd"/>
      <w:r w:rsidRPr="00ED04AE">
        <w:rPr>
          <w:rFonts w:ascii="Arial" w:hAnsi="Arial" w:cs="Arial"/>
        </w:rPr>
        <w:t xml:space="preserve"> CoQ10 with daily supplementation was linked to reduced migraine frequency. </w:t>
      </w:r>
    </w:p>
    <w:p w:rsidR="00ED04AE" w:rsidRPr="00ED04AE" w:rsidRDefault="00ED04AE" w:rsidP="00ED04AE">
      <w:pPr>
        <w:pStyle w:val="NoSpacing"/>
        <w:ind w:left="-270"/>
        <w:jc w:val="both"/>
        <w:rPr>
          <w:rFonts w:ascii="Arial" w:hAnsi="Arial" w:cs="Arial"/>
        </w:rPr>
      </w:pPr>
    </w:p>
    <w:p w:rsidR="00E75F9D" w:rsidRDefault="00E75F9D" w:rsidP="00ED04AE">
      <w:pPr>
        <w:pStyle w:val="NoSpacing"/>
        <w:ind w:left="-270"/>
        <w:jc w:val="both"/>
        <w:rPr>
          <w:rFonts w:ascii="Arial" w:hAnsi="Arial" w:cs="Arial"/>
        </w:rPr>
      </w:pPr>
      <w:r w:rsidRPr="00ED04AE">
        <w:rPr>
          <w:rFonts w:ascii="Arial" w:hAnsi="Arial" w:cs="Arial"/>
        </w:rPr>
        <w:t xml:space="preserve">CoQ10 is generally well tolerated. Side effects at high doses are uncommon, including nausea, anorexia, dyspepsia, diarrhea, and rash. </w:t>
      </w:r>
    </w:p>
    <w:p w:rsidR="00C86700" w:rsidRDefault="00C86700" w:rsidP="00ED04AE">
      <w:pPr>
        <w:pStyle w:val="NoSpacing"/>
        <w:ind w:left="-270"/>
        <w:jc w:val="both"/>
        <w:rPr>
          <w:rFonts w:ascii="Arial" w:hAnsi="Arial" w:cs="Arial"/>
        </w:rPr>
      </w:pPr>
    </w:p>
    <w:p w:rsidR="00C86700" w:rsidRPr="00ED04AE" w:rsidRDefault="00C86700" w:rsidP="00ED04AE">
      <w:pPr>
        <w:pStyle w:val="NoSpacing"/>
        <w:ind w:left="-270"/>
        <w:jc w:val="both"/>
        <w:rPr>
          <w:rFonts w:ascii="Arial" w:hAnsi="Arial" w:cs="Arial"/>
        </w:rPr>
      </w:pPr>
      <w:r>
        <w:rPr>
          <w:rFonts w:ascii="Arial" w:hAnsi="Arial" w:cs="Arial"/>
        </w:rPr>
        <w:t xml:space="preserve">Again, the Canadian Headache Society guidelines strongly recommend use of CoQ10 for the same reasons and with the same caveats as for riboflavin. </w:t>
      </w:r>
    </w:p>
    <w:p w:rsidR="00E75F9D" w:rsidRPr="00ED04AE" w:rsidRDefault="00E75F9D" w:rsidP="00ED04AE">
      <w:pPr>
        <w:pStyle w:val="NoSpacing"/>
        <w:ind w:left="-270"/>
        <w:jc w:val="both"/>
        <w:rPr>
          <w:rFonts w:ascii="Arial" w:hAnsi="Arial" w:cs="Arial"/>
        </w:rPr>
      </w:pPr>
    </w:p>
    <w:p w:rsidR="00E75F9D" w:rsidRDefault="00E75F9D" w:rsidP="00ED04AE">
      <w:pPr>
        <w:pStyle w:val="NoSpacing"/>
        <w:ind w:left="-270"/>
        <w:jc w:val="both"/>
        <w:rPr>
          <w:rFonts w:ascii="Arial" w:hAnsi="Arial" w:cs="Arial"/>
          <w:b/>
        </w:rPr>
      </w:pPr>
      <w:r w:rsidRPr="00ED04AE">
        <w:rPr>
          <w:rFonts w:ascii="Arial" w:hAnsi="Arial" w:cs="Arial"/>
          <w:b/>
        </w:rPr>
        <w:t>Feverfew</w:t>
      </w:r>
    </w:p>
    <w:p w:rsidR="00024D1A" w:rsidRPr="00ED04AE" w:rsidRDefault="00024D1A" w:rsidP="00ED04AE">
      <w:pPr>
        <w:pStyle w:val="NoSpacing"/>
        <w:ind w:left="-270"/>
        <w:jc w:val="both"/>
        <w:rPr>
          <w:rFonts w:ascii="Arial" w:hAnsi="Arial" w:cs="Arial"/>
          <w:b/>
        </w:rPr>
      </w:pPr>
    </w:p>
    <w:p w:rsidR="00E75F9D" w:rsidRPr="00ED04AE" w:rsidRDefault="00E75F9D" w:rsidP="00ED04AE">
      <w:pPr>
        <w:pStyle w:val="NoSpacing"/>
        <w:ind w:left="-270"/>
        <w:jc w:val="both"/>
        <w:rPr>
          <w:rFonts w:ascii="Arial" w:hAnsi="Arial" w:cs="Arial"/>
        </w:rPr>
      </w:pPr>
      <w:r w:rsidRPr="00ED04AE">
        <w:rPr>
          <w:rFonts w:ascii="Arial" w:hAnsi="Arial" w:cs="Arial"/>
        </w:rPr>
        <w:t xml:space="preserve">Feverfew is sold as capsules of the dried leaves of the weed plant </w:t>
      </w:r>
      <w:proofErr w:type="spellStart"/>
      <w:r w:rsidRPr="00ED04AE">
        <w:rPr>
          <w:rFonts w:ascii="Arial" w:hAnsi="Arial" w:cs="Arial"/>
        </w:rPr>
        <w:t>tanacetum</w:t>
      </w:r>
      <w:proofErr w:type="spellEnd"/>
      <w:r w:rsidRPr="00ED04AE">
        <w:rPr>
          <w:rFonts w:ascii="Arial" w:hAnsi="Arial" w:cs="Arial"/>
        </w:rPr>
        <w:t xml:space="preserve"> </w:t>
      </w:r>
      <w:proofErr w:type="spellStart"/>
      <w:r w:rsidRPr="00ED04AE">
        <w:rPr>
          <w:rFonts w:ascii="Arial" w:hAnsi="Arial" w:cs="Arial"/>
        </w:rPr>
        <w:t>parthenium</w:t>
      </w:r>
      <w:proofErr w:type="spellEnd"/>
      <w:r w:rsidRPr="00ED04AE">
        <w:rPr>
          <w:rFonts w:ascii="Arial" w:hAnsi="Arial" w:cs="Arial"/>
        </w:rPr>
        <w:t xml:space="preserve"> in the US. A meta-analysis of all of the RCTs up to 1998 concluded that data were of too low quality and too varied in results to be sure whether feverfew works in migraine prevention. Two recent RCTs of a purified stable extract of feverfew, MIG-99, suggest once again that feverfew is ineffective in migraine prevention, or has so low a clinical effect as to be close to useless. A more recent meta-analysis of five RCTs on feverfew found a suggestion of effect for migraine with aura, but otherwise the studies were negative, and concluded that feverfew is no better than placebo.</w:t>
      </w:r>
      <w:r w:rsidR="009274D6">
        <w:rPr>
          <w:rFonts w:ascii="Arial" w:hAnsi="Arial" w:cs="Arial"/>
        </w:rPr>
        <w:t xml:space="preserve"> Methodologic problems with the studies make meta-analysis of limited or no utility.</w:t>
      </w:r>
      <w:r w:rsidRPr="00ED04AE">
        <w:rPr>
          <w:rFonts w:ascii="Arial" w:hAnsi="Arial" w:cs="Arial"/>
        </w:rPr>
        <w:t xml:space="preserve"> The potential complications of </w:t>
      </w:r>
      <w:proofErr w:type="spellStart"/>
      <w:r w:rsidRPr="00ED04AE">
        <w:rPr>
          <w:rFonts w:ascii="Arial" w:hAnsi="Arial" w:cs="Arial"/>
        </w:rPr>
        <w:t>arthralgias</w:t>
      </w:r>
      <w:proofErr w:type="spellEnd"/>
      <w:r w:rsidRPr="00ED04AE">
        <w:rPr>
          <w:rFonts w:ascii="Arial" w:hAnsi="Arial" w:cs="Arial"/>
        </w:rPr>
        <w:t>, gastrointestinal disturbances, and mouth ulcers, and the wide variety of potency in dried</w:t>
      </w:r>
      <w:r w:rsidR="009274D6">
        <w:rPr>
          <w:rFonts w:ascii="Arial" w:hAnsi="Arial" w:cs="Arial"/>
        </w:rPr>
        <w:t xml:space="preserve"> leaves, preclude a strong</w:t>
      </w:r>
      <w:r w:rsidRPr="00ED04AE">
        <w:rPr>
          <w:rFonts w:ascii="Arial" w:hAnsi="Arial" w:cs="Arial"/>
        </w:rPr>
        <w:t xml:space="preserve"> recommendation for migraine prevention.</w:t>
      </w:r>
    </w:p>
    <w:p w:rsidR="00E75F9D" w:rsidRPr="00ED04AE" w:rsidRDefault="00E75F9D" w:rsidP="00ED04AE">
      <w:pPr>
        <w:pStyle w:val="NoSpacing"/>
        <w:ind w:left="-270"/>
        <w:jc w:val="both"/>
        <w:rPr>
          <w:rFonts w:ascii="Arial" w:hAnsi="Arial" w:cs="Arial"/>
          <w:b/>
          <w:bCs/>
        </w:rPr>
      </w:pPr>
    </w:p>
    <w:p w:rsidR="00E75F9D" w:rsidRDefault="00E75F9D" w:rsidP="00ED04AE">
      <w:pPr>
        <w:pStyle w:val="NoSpacing"/>
        <w:ind w:left="-270"/>
        <w:jc w:val="both"/>
        <w:rPr>
          <w:rFonts w:ascii="Arial" w:hAnsi="Arial" w:cs="Arial"/>
          <w:b/>
          <w:bCs/>
        </w:rPr>
      </w:pPr>
      <w:proofErr w:type="spellStart"/>
      <w:r w:rsidRPr="00ED04AE">
        <w:rPr>
          <w:rFonts w:ascii="Arial" w:hAnsi="Arial" w:cs="Arial"/>
          <w:b/>
          <w:bCs/>
        </w:rPr>
        <w:t>Petasites</w:t>
      </w:r>
      <w:proofErr w:type="spellEnd"/>
      <w:r w:rsidRPr="00ED04AE">
        <w:rPr>
          <w:rFonts w:ascii="Arial" w:hAnsi="Arial" w:cs="Arial"/>
          <w:b/>
          <w:bCs/>
        </w:rPr>
        <w:t xml:space="preserve"> (Butterbur root)</w:t>
      </w:r>
    </w:p>
    <w:p w:rsidR="00024D1A" w:rsidRPr="00ED04AE" w:rsidRDefault="00024D1A" w:rsidP="00ED04AE">
      <w:pPr>
        <w:pStyle w:val="NoSpacing"/>
        <w:ind w:left="-270"/>
        <w:jc w:val="both"/>
        <w:rPr>
          <w:rFonts w:ascii="Arial" w:hAnsi="Arial" w:cs="Arial"/>
          <w:b/>
          <w:bCs/>
        </w:rPr>
      </w:pPr>
    </w:p>
    <w:p w:rsidR="00CC471D" w:rsidRDefault="009274D6" w:rsidP="00ED04AE">
      <w:pPr>
        <w:pStyle w:val="NoSpacing"/>
        <w:ind w:left="-270"/>
        <w:jc w:val="both"/>
        <w:rPr>
          <w:rFonts w:ascii="Arial" w:hAnsi="Arial" w:cs="Arial"/>
        </w:rPr>
      </w:pPr>
      <w:r>
        <w:rPr>
          <w:rFonts w:ascii="Arial" w:hAnsi="Arial" w:cs="Arial"/>
        </w:rPr>
        <w:t xml:space="preserve">A root extract of the </w:t>
      </w:r>
      <w:r w:rsidR="00CC471D">
        <w:rPr>
          <w:rFonts w:ascii="Arial" w:hAnsi="Arial" w:cs="Arial"/>
        </w:rPr>
        <w:t xml:space="preserve">butterbur </w:t>
      </w:r>
      <w:r>
        <w:rPr>
          <w:rFonts w:ascii="Arial" w:hAnsi="Arial" w:cs="Arial"/>
        </w:rPr>
        <w:t xml:space="preserve">plant </w:t>
      </w:r>
      <w:proofErr w:type="spellStart"/>
      <w:r w:rsidR="00E75F9D" w:rsidRPr="00ED04AE">
        <w:rPr>
          <w:rFonts w:ascii="Arial" w:hAnsi="Arial" w:cs="Arial"/>
        </w:rPr>
        <w:t>Petasites</w:t>
      </w:r>
      <w:proofErr w:type="spellEnd"/>
      <w:r w:rsidR="00E75F9D" w:rsidRPr="00ED04AE">
        <w:rPr>
          <w:rFonts w:ascii="Arial" w:hAnsi="Arial" w:cs="Arial"/>
        </w:rPr>
        <w:t xml:space="preserve"> </w:t>
      </w:r>
      <w:proofErr w:type="spellStart"/>
      <w:r w:rsidR="00E75F9D" w:rsidRPr="00ED04AE">
        <w:rPr>
          <w:rFonts w:ascii="Arial" w:hAnsi="Arial" w:cs="Arial"/>
        </w:rPr>
        <w:t>hybridus</w:t>
      </w:r>
      <w:proofErr w:type="spellEnd"/>
      <w:r w:rsidR="00E75F9D" w:rsidRPr="00ED04AE">
        <w:rPr>
          <w:rFonts w:ascii="Arial" w:hAnsi="Arial" w:cs="Arial"/>
        </w:rPr>
        <w:t xml:space="preserve"> </w:t>
      </w:r>
      <w:r>
        <w:rPr>
          <w:rFonts w:ascii="Arial" w:hAnsi="Arial" w:cs="Arial"/>
        </w:rPr>
        <w:t>is sold in v</w:t>
      </w:r>
      <w:r w:rsidR="00EF545B">
        <w:rPr>
          <w:rFonts w:ascii="Arial" w:hAnsi="Arial" w:cs="Arial"/>
        </w:rPr>
        <w:t>arious countries around the world</w:t>
      </w:r>
      <w:r>
        <w:rPr>
          <w:rFonts w:ascii="Arial" w:hAnsi="Arial" w:cs="Arial"/>
        </w:rPr>
        <w:t xml:space="preserve">. </w:t>
      </w:r>
      <w:r w:rsidR="00E75F9D" w:rsidRPr="00ED04AE">
        <w:rPr>
          <w:rFonts w:ascii="Arial" w:hAnsi="Arial" w:cs="Arial"/>
        </w:rPr>
        <w:t xml:space="preserve"> Two RCTs </w:t>
      </w:r>
      <w:r w:rsidR="00CC471D">
        <w:rPr>
          <w:rFonts w:ascii="Arial" w:hAnsi="Arial" w:cs="Arial"/>
        </w:rPr>
        <w:t>were positive</w:t>
      </w:r>
      <w:r w:rsidR="00E75F9D" w:rsidRPr="00ED04AE">
        <w:rPr>
          <w:rFonts w:ascii="Arial" w:hAnsi="Arial" w:cs="Arial"/>
        </w:rPr>
        <w:t xml:space="preserve"> for</w:t>
      </w:r>
      <w:r w:rsidR="00CC471D">
        <w:rPr>
          <w:rFonts w:ascii="Arial" w:hAnsi="Arial" w:cs="Arial"/>
        </w:rPr>
        <w:t xml:space="preserve"> the brand name </w:t>
      </w:r>
      <w:proofErr w:type="spellStart"/>
      <w:r w:rsidR="00E75F9D" w:rsidRPr="00ED04AE">
        <w:rPr>
          <w:rFonts w:ascii="Arial" w:hAnsi="Arial" w:cs="Arial"/>
        </w:rPr>
        <w:t>Petadolex</w:t>
      </w:r>
      <w:proofErr w:type="spellEnd"/>
      <w:r w:rsidR="00E75F9D" w:rsidRPr="00ED04AE">
        <w:rPr>
          <w:rFonts w:ascii="Arial" w:hAnsi="Arial" w:cs="Arial"/>
        </w:rPr>
        <w:sym w:font="Symbol" w:char="F0D4"/>
      </w:r>
      <w:r w:rsidR="00E75F9D" w:rsidRPr="00ED04AE">
        <w:rPr>
          <w:rFonts w:ascii="Arial" w:hAnsi="Arial" w:cs="Arial"/>
        </w:rPr>
        <w:t xml:space="preserve">: a small study of 100 mg/day, and a larger study of 150 mg/day vs. placebo.  </w:t>
      </w:r>
      <w:r w:rsidR="00CC471D">
        <w:rPr>
          <w:rFonts w:ascii="Arial" w:hAnsi="Arial" w:cs="Arial"/>
        </w:rPr>
        <w:t>The</w:t>
      </w:r>
      <w:r w:rsidR="00E75F9D" w:rsidRPr="00ED04AE">
        <w:rPr>
          <w:rFonts w:ascii="Arial" w:hAnsi="Arial" w:cs="Arial"/>
        </w:rPr>
        <w:t xml:space="preserve"> only side effect </w:t>
      </w:r>
      <w:r w:rsidR="00CC471D">
        <w:rPr>
          <w:rFonts w:ascii="Arial" w:hAnsi="Arial" w:cs="Arial"/>
        </w:rPr>
        <w:t>reported from those studies was</w:t>
      </w:r>
      <w:r w:rsidR="00E75F9D" w:rsidRPr="00ED04AE">
        <w:rPr>
          <w:rFonts w:ascii="Arial" w:hAnsi="Arial" w:cs="Arial"/>
        </w:rPr>
        <w:t xml:space="preserve"> burping.  </w:t>
      </w:r>
    </w:p>
    <w:p w:rsidR="00CC471D" w:rsidRPr="00CA10EB" w:rsidRDefault="00CC471D" w:rsidP="00CA10EB">
      <w:pPr>
        <w:pStyle w:val="Heading1"/>
        <w:shd w:val="clear" w:color="auto" w:fill="FFFFFF"/>
        <w:spacing w:before="90" w:after="90" w:line="270" w:lineRule="atLeast"/>
        <w:ind w:left="-270"/>
        <w:rPr>
          <w:rFonts w:ascii="Arial" w:hAnsi="Arial" w:cs="Arial"/>
          <w:b w:val="0"/>
          <w:color w:val="000000"/>
          <w:sz w:val="22"/>
          <w:szCs w:val="22"/>
        </w:rPr>
      </w:pPr>
      <w:r w:rsidRPr="00CA10EB">
        <w:rPr>
          <w:rFonts w:ascii="Arial" w:hAnsi="Arial" w:cs="Arial"/>
          <w:b w:val="0"/>
          <w:sz w:val="22"/>
          <w:szCs w:val="22"/>
        </w:rPr>
        <w:t xml:space="preserve">However, </w:t>
      </w:r>
      <w:r w:rsidRPr="00CA10EB">
        <w:rPr>
          <w:rFonts w:ascii="Arial" w:eastAsiaTheme="minorHAnsi" w:hAnsi="Arial" w:cs="Arial"/>
          <w:b w:val="0"/>
          <w:sz w:val="22"/>
          <w:szCs w:val="22"/>
        </w:rPr>
        <w:t>the United Kingdom’s Medicines and Healthcare Products Regulatory Agency (MHRA) in 2012 removed all butterbur/</w:t>
      </w:r>
      <w:proofErr w:type="spellStart"/>
      <w:r w:rsidRPr="00CA10EB">
        <w:rPr>
          <w:rFonts w:ascii="Arial" w:eastAsiaTheme="minorHAnsi" w:hAnsi="Arial" w:cs="Arial"/>
          <w:b w:val="0"/>
          <w:sz w:val="22"/>
          <w:szCs w:val="22"/>
        </w:rPr>
        <w:t>Petasites</w:t>
      </w:r>
      <w:proofErr w:type="spellEnd"/>
      <w:r w:rsidRPr="00CA10EB">
        <w:rPr>
          <w:rFonts w:ascii="Arial" w:eastAsiaTheme="minorHAnsi" w:hAnsi="Arial" w:cs="Arial"/>
          <w:b w:val="0"/>
          <w:sz w:val="22"/>
          <w:szCs w:val="22"/>
        </w:rPr>
        <w:t xml:space="preserve"> products from the UK market, and their website states, ‘‘Butterbur products have been associated with [40] cases of liver toxicity [in the literature]. Of these cases, nine were of acute hepatitis and two of the nine cases resulted in liver failure requiring transplantation.” The brand name </w:t>
      </w:r>
      <w:proofErr w:type="spellStart"/>
      <w:r w:rsidRPr="00CA10EB">
        <w:rPr>
          <w:rFonts w:ascii="Arial" w:eastAsiaTheme="minorHAnsi" w:hAnsi="Arial" w:cs="Arial"/>
          <w:b w:val="0"/>
          <w:sz w:val="22"/>
          <w:szCs w:val="22"/>
        </w:rPr>
        <w:t>Petadolex</w:t>
      </w:r>
      <w:proofErr w:type="spellEnd"/>
      <w:r w:rsidRPr="00CA10EB">
        <w:rPr>
          <w:rFonts w:ascii="Arial" w:eastAsiaTheme="minorHAnsi" w:hAnsi="Arial" w:cs="Arial"/>
          <w:b w:val="0"/>
          <w:sz w:val="22"/>
          <w:szCs w:val="22"/>
        </w:rPr>
        <w:t xml:space="preserve"> manufacturing technique was also changed and the Swiss and German regulatory agencies also banned </w:t>
      </w:r>
      <w:proofErr w:type="spellStart"/>
      <w:r w:rsidRPr="00CA10EB">
        <w:rPr>
          <w:rFonts w:ascii="Arial" w:eastAsiaTheme="minorHAnsi" w:hAnsi="Arial" w:cs="Arial"/>
          <w:b w:val="0"/>
          <w:sz w:val="22"/>
          <w:szCs w:val="22"/>
        </w:rPr>
        <w:t>Petasites</w:t>
      </w:r>
      <w:proofErr w:type="spellEnd"/>
      <w:r w:rsidRPr="00CA10EB">
        <w:rPr>
          <w:rFonts w:ascii="Arial" w:eastAsiaTheme="minorHAnsi" w:hAnsi="Arial" w:cs="Arial"/>
          <w:b w:val="0"/>
          <w:sz w:val="22"/>
          <w:szCs w:val="22"/>
        </w:rPr>
        <w:t xml:space="preserve"> products.</w:t>
      </w:r>
      <w:r w:rsidR="00EF545B" w:rsidRPr="00CA10EB">
        <w:rPr>
          <w:rFonts w:ascii="Arial" w:eastAsiaTheme="minorHAnsi" w:hAnsi="Arial" w:cs="Arial"/>
          <w:b w:val="0"/>
          <w:sz w:val="22"/>
          <w:szCs w:val="22"/>
        </w:rPr>
        <w:t xml:space="preserve"> In view of these issues, the </w:t>
      </w:r>
      <w:r w:rsidR="00CA10EB" w:rsidRPr="00CA10EB">
        <w:rPr>
          <w:rFonts w:ascii="Arial" w:eastAsiaTheme="minorHAnsi" w:hAnsi="Arial" w:cs="Arial"/>
          <w:b w:val="0"/>
          <w:sz w:val="22"/>
          <w:szCs w:val="22"/>
        </w:rPr>
        <w:t>American Headache Society/American Academy of Neurology</w:t>
      </w:r>
      <w:r w:rsidR="00EF545B" w:rsidRPr="00CA10EB">
        <w:rPr>
          <w:rFonts w:ascii="Arial" w:eastAsiaTheme="minorHAnsi" w:hAnsi="Arial" w:cs="Arial"/>
          <w:b w:val="0"/>
          <w:sz w:val="22"/>
          <w:szCs w:val="22"/>
        </w:rPr>
        <w:t xml:space="preserve"> withdrew their </w:t>
      </w:r>
      <w:r w:rsidR="00CA10EB" w:rsidRPr="00CA10EB">
        <w:rPr>
          <w:rFonts w:ascii="Arial" w:hAnsi="Arial" w:cs="Arial"/>
          <w:b w:val="0"/>
          <w:color w:val="000000"/>
          <w:sz w:val="22"/>
          <w:szCs w:val="22"/>
        </w:rPr>
        <w:t>Evidence-based guideline</w:t>
      </w:r>
      <w:r w:rsidR="00CA10EB">
        <w:rPr>
          <w:rFonts w:ascii="Arial" w:hAnsi="Arial" w:cs="Arial"/>
          <w:b w:val="0"/>
          <w:color w:val="000000"/>
          <w:sz w:val="22"/>
          <w:szCs w:val="22"/>
        </w:rPr>
        <w:t>s</w:t>
      </w:r>
      <w:r w:rsidR="00CA10EB" w:rsidRPr="00CA10EB">
        <w:rPr>
          <w:rFonts w:ascii="Arial" w:hAnsi="Arial" w:cs="Arial"/>
          <w:b w:val="0"/>
          <w:color w:val="000000"/>
          <w:sz w:val="22"/>
          <w:szCs w:val="22"/>
        </w:rPr>
        <w:t xml:space="preserve"> </w:t>
      </w:r>
      <w:r w:rsidR="00CA10EB">
        <w:rPr>
          <w:rFonts w:ascii="Arial" w:hAnsi="Arial" w:cs="Arial"/>
          <w:b w:val="0"/>
          <w:color w:val="000000"/>
          <w:sz w:val="22"/>
          <w:szCs w:val="22"/>
        </w:rPr>
        <w:t xml:space="preserve">for </w:t>
      </w:r>
      <w:r w:rsidR="00CA10EB" w:rsidRPr="00CA10EB">
        <w:rPr>
          <w:rFonts w:ascii="Arial" w:hAnsi="Arial" w:cs="Arial"/>
          <w:b w:val="0"/>
          <w:color w:val="000000"/>
          <w:sz w:val="22"/>
          <w:szCs w:val="22"/>
        </w:rPr>
        <w:t>NSAIDs and other complementary treatments for episodic migraine prevention in adults</w:t>
      </w:r>
      <w:r w:rsidR="00CA10EB">
        <w:rPr>
          <w:rFonts w:ascii="Arial" w:hAnsi="Arial" w:cs="Arial"/>
          <w:b w:val="0"/>
          <w:color w:val="000000"/>
          <w:sz w:val="22"/>
          <w:szCs w:val="22"/>
        </w:rPr>
        <w:t xml:space="preserve">. </w:t>
      </w:r>
      <w:r w:rsidR="00CA10EB">
        <w:rPr>
          <w:rFonts w:ascii="Arial" w:eastAsiaTheme="minorHAnsi" w:hAnsi="Arial" w:cs="Arial"/>
          <w:b w:val="0"/>
          <w:sz w:val="22"/>
        </w:rPr>
        <w:t>As</w:t>
      </w:r>
      <w:r w:rsidR="00EF545B" w:rsidRPr="00CA10EB">
        <w:rPr>
          <w:rFonts w:ascii="Arial" w:eastAsiaTheme="minorHAnsi" w:hAnsi="Arial" w:cs="Arial"/>
          <w:b w:val="0"/>
          <w:sz w:val="22"/>
        </w:rPr>
        <w:t xml:space="preserve"> </w:t>
      </w:r>
      <w:r w:rsidR="00CA10EB">
        <w:rPr>
          <w:rFonts w:ascii="Arial" w:eastAsiaTheme="minorHAnsi" w:hAnsi="Arial" w:cs="Arial"/>
          <w:b w:val="0"/>
          <w:sz w:val="22"/>
        </w:rPr>
        <w:t>of January 2017,</w:t>
      </w:r>
      <w:r w:rsidR="00EF545B" w:rsidRPr="00CA10EB">
        <w:rPr>
          <w:rFonts w:ascii="Arial" w:eastAsiaTheme="minorHAnsi" w:hAnsi="Arial" w:cs="Arial"/>
          <w:b w:val="0"/>
          <w:sz w:val="22"/>
        </w:rPr>
        <w:t xml:space="preserve"> no recommendations for </w:t>
      </w:r>
      <w:r w:rsidR="00CA10EB">
        <w:rPr>
          <w:rFonts w:ascii="Arial" w:eastAsiaTheme="minorHAnsi" w:hAnsi="Arial" w:cs="Arial"/>
          <w:b w:val="0"/>
          <w:sz w:val="22"/>
        </w:rPr>
        <w:t xml:space="preserve">the use of </w:t>
      </w:r>
      <w:proofErr w:type="spellStart"/>
      <w:r w:rsidR="00CA10EB">
        <w:rPr>
          <w:rFonts w:ascii="Arial" w:eastAsiaTheme="minorHAnsi" w:hAnsi="Arial" w:cs="Arial"/>
          <w:b w:val="0"/>
          <w:sz w:val="22"/>
        </w:rPr>
        <w:t>Petasites</w:t>
      </w:r>
      <w:proofErr w:type="spellEnd"/>
      <w:r w:rsidR="00CA10EB">
        <w:rPr>
          <w:rFonts w:ascii="Arial" w:eastAsiaTheme="minorHAnsi" w:hAnsi="Arial" w:cs="Arial"/>
          <w:b w:val="0"/>
          <w:sz w:val="22"/>
        </w:rPr>
        <w:t xml:space="preserve"> can be made. </w:t>
      </w:r>
      <w:r w:rsidR="00EF545B" w:rsidRPr="00CA10EB">
        <w:rPr>
          <w:rFonts w:ascii="Arial" w:eastAsiaTheme="minorHAnsi" w:hAnsi="Arial" w:cs="Arial"/>
          <w:b w:val="0"/>
          <w:sz w:val="22"/>
        </w:rPr>
        <w:t xml:space="preserve"> </w:t>
      </w:r>
    </w:p>
    <w:p w:rsidR="00CC471D" w:rsidRPr="00CC471D" w:rsidRDefault="00CC471D" w:rsidP="00ED04AE">
      <w:pPr>
        <w:pStyle w:val="NoSpacing"/>
        <w:ind w:left="-270"/>
        <w:jc w:val="both"/>
        <w:rPr>
          <w:rFonts w:ascii="Arial" w:hAnsi="Arial" w:cs="Arial"/>
        </w:rPr>
      </w:pPr>
    </w:p>
    <w:p w:rsidR="00CC471D" w:rsidRDefault="00CC471D" w:rsidP="00ED04AE">
      <w:pPr>
        <w:pStyle w:val="NoSpacing"/>
        <w:ind w:left="-270"/>
        <w:jc w:val="both"/>
        <w:rPr>
          <w:rFonts w:ascii="Arial" w:hAnsi="Arial" w:cs="Arial"/>
        </w:rPr>
      </w:pPr>
    </w:p>
    <w:p w:rsidR="00CC471D" w:rsidRDefault="00CC471D" w:rsidP="00CC471D">
      <w:pPr>
        <w:pStyle w:val="NoSpacing"/>
        <w:jc w:val="both"/>
        <w:rPr>
          <w:rFonts w:ascii="Arial" w:hAnsi="Arial" w:cs="Arial"/>
        </w:rPr>
      </w:pPr>
    </w:p>
    <w:p w:rsidR="00E75F9D" w:rsidRPr="00ED04AE" w:rsidRDefault="00E75F9D" w:rsidP="00ED04AE">
      <w:pPr>
        <w:pStyle w:val="NoSpacing"/>
        <w:ind w:left="-270"/>
        <w:jc w:val="both"/>
        <w:rPr>
          <w:rFonts w:ascii="Arial" w:hAnsi="Arial" w:cs="Arial"/>
          <w:b/>
          <w:bCs/>
        </w:rPr>
      </w:pPr>
      <w:r w:rsidRPr="00ED04AE">
        <w:rPr>
          <w:rFonts w:ascii="Arial" w:hAnsi="Arial" w:cs="Arial"/>
          <w:b/>
          <w:bCs/>
        </w:rPr>
        <w:t>Selected References</w:t>
      </w:r>
    </w:p>
    <w:p w:rsidR="00E75F9D" w:rsidRPr="00ED04AE" w:rsidRDefault="00E75F9D" w:rsidP="00ED04AE">
      <w:pPr>
        <w:pStyle w:val="NoSpacing"/>
        <w:ind w:left="-270"/>
        <w:jc w:val="both"/>
        <w:rPr>
          <w:rFonts w:ascii="Arial" w:hAnsi="Arial" w:cs="Arial"/>
          <w:b/>
          <w:bCs/>
        </w:rPr>
      </w:pPr>
    </w:p>
    <w:p w:rsidR="00E75F9D" w:rsidRDefault="00E75F9D" w:rsidP="00ED04AE">
      <w:pPr>
        <w:pStyle w:val="NoSpacing"/>
        <w:ind w:left="-270"/>
        <w:jc w:val="both"/>
        <w:rPr>
          <w:rFonts w:ascii="Arial" w:hAnsi="Arial" w:cs="Arial"/>
          <w:b/>
          <w:bCs/>
        </w:rPr>
      </w:pPr>
      <w:r w:rsidRPr="00ED04AE">
        <w:rPr>
          <w:rFonts w:ascii="Arial" w:hAnsi="Arial" w:cs="Arial"/>
          <w:b/>
          <w:bCs/>
        </w:rPr>
        <w:t>Magnesium</w:t>
      </w:r>
      <w:r w:rsidRPr="00ED04AE">
        <w:rPr>
          <w:rFonts w:ascii="Arial" w:hAnsi="Arial" w:cs="Arial"/>
        </w:rPr>
        <w:t xml:space="preserve">, </w:t>
      </w:r>
      <w:r w:rsidRPr="00ED04AE">
        <w:rPr>
          <w:rFonts w:ascii="Arial" w:hAnsi="Arial" w:cs="Arial"/>
          <w:b/>
          <w:bCs/>
        </w:rPr>
        <w:t>Preventive Treatment</w:t>
      </w:r>
    </w:p>
    <w:p w:rsidR="00024D1A" w:rsidRPr="00ED04AE" w:rsidRDefault="00024D1A" w:rsidP="00ED04AE">
      <w:pPr>
        <w:pStyle w:val="NoSpacing"/>
        <w:ind w:left="-270"/>
        <w:jc w:val="both"/>
        <w:rPr>
          <w:rFonts w:ascii="Arial" w:hAnsi="Arial" w:cs="Arial"/>
        </w:rPr>
      </w:pPr>
    </w:p>
    <w:p w:rsidR="00E75F9D" w:rsidRPr="00ED04AE" w:rsidRDefault="00E75F9D" w:rsidP="00ED04AE">
      <w:pPr>
        <w:pStyle w:val="NoSpacing"/>
        <w:ind w:left="-270"/>
        <w:jc w:val="both"/>
        <w:rPr>
          <w:rFonts w:ascii="Arial" w:hAnsi="Arial" w:cs="Arial"/>
        </w:rPr>
      </w:pPr>
      <w:proofErr w:type="spellStart"/>
      <w:r w:rsidRPr="00ED04AE">
        <w:rPr>
          <w:rFonts w:ascii="Arial" w:hAnsi="Arial" w:cs="Arial"/>
        </w:rPr>
        <w:t>Facchinetti</w:t>
      </w:r>
      <w:proofErr w:type="spellEnd"/>
      <w:r w:rsidRPr="00ED04AE">
        <w:rPr>
          <w:rFonts w:ascii="Arial" w:hAnsi="Arial" w:cs="Arial"/>
        </w:rPr>
        <w:t xml:space="preserve"> F, </w:t>
      </w:r>
      <w:proofErr w:type="spellStart"/>
      <w:r w:rsidRPr="00ED04AE">
        <w:rPr>
          <w:rFonts w:ascii="Arial" w:hAnsi="Arial" w:cs="Arial"/>
        </w:rPr>
        <w:t>Sances</w:t>
      </w:r>
      <w:proofErr w:type="spellEnd"/>
      <w:r w:rsidRPr="00ED04AE">
        <w:rPr>
          <w:rFonts w:ascii="Arial" w:hAnsi="Arial" w:cs="Arial"/>
        </w:rPr>
        <w:t xml:space="preserve"> G, </w:t>
      </w:r>
      <w:proofErr w:type="spellStart"/>
      <w:r w:rsidRPr="00ED04AE">
        <w:rPr>
          <w:rFonts w:ascii="Arial" w:hAnsi="Arial" w:cs="Arial"/>
        </w:rPr>
        <w:t>Borella</w:t>
      </w:r>
      <w:proofErr w:type="spellEnd"/>
      <w:r w:rsidRPr="00ED04AE">
        <w:rPr>
          <w:rFonts w:ascii="Arial" w:hAnsi="Arial" w:cs="Arial"/>
        </w:rPr>
        <w:t xml:space="preserve"> P, et al. Magnesium prophylaxis of menstrual migraine: effects on intracellular magnesium. </w:t>
      </w:r>
      <w:r w:rsidRPr="00ED04AE">
        <w:rPr>
          <w:rFonts w:ascii="Arial" w:hAnsi="Arial" w:cs="Arial"/>
          <w:i/>
          <w:iCs/>
        </w:rPr>
        <w:t xml:space="preserve">Headache </w:t>
      </w:r>
      <w:r w:rsidRPr="00ED04AE">
        <w:rPr>
          <w:rFonts w:ascii="Arial" w:hAnsi="Arial" w:cs="Arial"/>
        </w:rPr>
        <w:t>1991;31:298-301.</w:t>
      </w:r>
    </w:p>
    <w:p w:rsidR="00ED04AE" w:rsidRPr="00ED04AE" w:rsidRDefault="00ED04AE" w:rsidP="00ED04AE">
      <w:pPr>
        <w:pStyle w:val="NoSpacing"/>
        <w:ind w:left="-270"/>
        <w:jc w:val="both"/>
        <w:rPr>
          <w:rFonts w:ascii="Arial" w:hAnsi="Arial" w:cs="Arial"/>
          <w:b/>
          <w:bCs/>
        </w:rPr>
      </w:pPr>
    </w:p>
    <w:p w:rsidR="00E75F9D" w:rsidRDefault="00E75F9D" w:rsidP="00ED04AE">
      <w:pPr>
        <w:pStyle w:val="NoSpacing"/>
        <w:ind w:left="-270"/>
        <w:jc w:val="both"/>
        <w:rPr>
          <w:rFonts w:ascii="Arial" w:hAnsi="Arial" w:cs="Arial"/>
          <w:b/>
          <w:bCs/>
        </w:rPr>
      </w:pPr>
      <w:r w:rsidRPr="00ED04AE">
        <w:rPr>
          <w:rFonts w:ascii="Arial" w:hAnsi="Arial" w:cs="Arial"/>
          <w:b/>
          <w:bCs/>
        </w:rPr>
        <w:t>Riboflavin (B2)</w:t>
      </w:r>
    </w:p>
    <w:p w:rsidR="00024D1A" w:rsidRPr="00ED04AE" w:rsidRDefault="00024D1A" w:rsidP="00ED04AE">
      <w:pPr>
        <w:pStyle w:val="NoSpacing"/>
        <w:ind w:left="-270"/>
        <w:jc w:val="both"/>
        <w:rPr>
          <w:rFonts w:ascii="Arial" w:hAnsi="Arial" w:cs="Arial"/>
          <w:b/>
          <w:bCs/>
        </w:rPr>
      </w:pPr>
    </w:p>
    <w:p w:rsidR="00E75F9D" w:rsidRDefault="00E75F9D" w:rsidP="00ED04AE">
      <w:pPr>
        <w:pStyle w:val="NoSpacing"/>
        <w:ind w:left="-270"/>
        <w:jc w:val="both"/>
        <w:rPr>
          <w:rFonts w:ascii="Arial" w:hAnsi="Arial" w:cs="Arial"/>
          <w:lang w:val="fr-FR"/>
        </w:rPr>
      </w:pPr>
      <w:r w:rsidRPr="00ED04AE">
        <w:rPr>
          <w:rFonts w:ascii="Arial" w:hAnsi="Arial" w:cs="Arial"/>
        </w:rPr>
        <w:t xml:space="preserve">Maizels M, Blumenfeld A, </w:t>
      </w:r>
      <w:proofErr w:type="spellStart"/>
      <w:r w:rsidRPr="00ED04AE">
        <w:rPr>
          <w:rFonts w:ascii="Arial" w:hAnsi="Arial" w:cs="Arial"/>
        </w:rPr>
        <w:t>Burchette</w:t>
      </w:r>
      <w:proofErr w:type="spellEnd"/>
      <w:r w:rsidRPr="00ED04AE">
        <w:rPr>
          <w:rFonts w:ascii="Arial" w:hAnsi="Arial" w:cs="Arial"/>
        </w:rPr>
        <w:t xml:space="preserve"> R. A combination of riboflavin, magnesium, and feverfew for migraine prophylaxis: a randomized trial. </w:t>
      </w:r>
      <w:r w:rsidRPr="00ED04AE">
        <w:rPr>
          <w:rFonts w:ascii="Arial" w:hAnsi="Arial" w:cs="Arial"/>
          <w:i/>
          <w:iCs/>
          <w:lang w:val="fr-FR"/>
        </w:rPr>
        <w:t>Headache</w:t>
      </w:r>
      <w:r w:rsidRPr="00ED04AE">
        <w:rPr>
          <w:rFonts w:ascii="Arial" w:hAnsi="Arial" w:cs="Arial"/>
          <w:lang w:val="fr-FR"/>
        </w:rPr>
        <w:t xml:space="preserve"> 2004;44:885-90.</w:t>
      </w:r>
    </w:p>
    <w:p w:rsidR="00A77E23" w:rsidRDefault="00A77E23" w:rsidP="00A77E23">
      <w:pPr>
        <w:autoSpaceDE w:val="0"/>
        <w:autoSpaceDN w:val="0"/>
        <w:adjustRightInd w:val="0"/>
        <w:rPr>
          <w:rFonts w:ascii="Arial" w:hAnsi="Arial" w:cs="Arial"/>
          <w:szCs w:val="32"/>
          <w:lang w:val="fr-FR"/>
        </w:rPr>
      </w:pPr>
    </w:p>
    <w:p w:rsidR="00ED04AE" w:rsidRPr="00ED04AE" w:rsidRDefault="00ED04AE" w:rsidP="00ED04AE">
      <w:pPr>
        <w:pStyle w:val="NoSpacing"/>
        <w:ind w:left="-270"/>
        <w:jc w:val="both"/>
        <w:rPr>
          <w:rFonts w:ascii="Arial" w:hAnsi="Arial" w:cs="Arial"/>
          <w:lang w:val="fr-FR"/>
        </w:rPr>
      </w:pPr>
    </w:p>
    <w:p w:rsidR="00E75F9D" w:rsidRDefault="00E75F9D" w:rsidP="00ED04AE">
      <w:pPr>
        <w:pStyle w:val="NoSpacing"/>
        <w:ind w:left="-270"/>
        <w:jc w:val="both"/>
        <w:rPr>
          <w:rFonts w:ascii="Arial" w:hAnsi="Arial" w:cs="Arial"/>
          <w:b/>
          <w:lang w:val="fr-FR"/>
        </w:rPr>
      </w:pPr>
      <w:r w:rsidRPr="00ED04AE">
        <w:rPr>
          <w:rFonts w:ascii="Arial" w:hAnsi="Arial" w:cs="Arial"/>
          <w:b/>
          <w:lang w:val="fr-FR"/>
        </w:rPr>
        <w:t>CoQ10</w:t>
      </w:r>
    </w:p>
    <w:p w:rsidR="00024D1A" w:rsidRPr="00ED04AE" w:rsidRDefault="00024D1A" w:rsidP="00ED04AE">
      <w:pPr>
        <w:pStyle w:val="NoSpacing"/>
        <w:ind w:left="-270"/>
        <w:jc w:val="both"/>
        <w:rPr>
          <w:rFonts w:ascii="Arial" w:hAnsi="Arial" w:cs="Arial"/>
          <w:b/>
          <w:lang w:val="fr-FR"/>
        </w:rPr>
      </w:pPr>
    </w:p>
    <w:p w:rsidR="00E75F9D" w:rsidRPr="00ED04AE" w:rsidRDefault="00E75F9D" w:rsidP="00ED04AE">
      <w:pPr>
        <w:pStyle w:val="NoSpacing"/>
        <w:ind w:left="-270"/>
        <w:jc w:val="both"/>
        <w:rPr>
          <w:rFonts w:ascii="Arial" w:hAnsi="Arial" w:cs="Arial"/>
        </w:rPr>
      </w:pPr>
      <w:proofErr w:type="spellStart"/>
      <w:r w:rsidRPr="00ED04AE">
        <w:rPr>
          <w:rFonts w:ascii="Arial" w:hAnsi="Arial" w:cs="Arial"/>
          <w:lang w:val="fr-FR"/>
        </w:rPr>
        <w:t>Sandor</w:t>
      </w:r>
      <w:proofErr w:type="spellEnd"/>
      <w:r w:rsidRPr="00ED04AE">
        <w:rPr>
          <w:rFonts w:ascii="Arial" w:hAnsi="Arial" w:cs="Arial"/>
          <w:lang w:val="fr-FR"/>
        </w:rPr>
        <w:t xml:space="preserve"> PS, </w:t>
      </w:r>
      <w:proofErr w:type="spellStart"/>
      <w:r w:rsidRPr="00ED04AE">
        <w:rPr>
          <w:rFonts w:ascii="Arial" w:hAnsi="Arial" w:cs="Arial"/>
          <w:lang w:val="fr-FR"/>
        </w:rPr>
        <w:t>DiClemente</w:t>
      </w:r>
      <w:proofErr w:type="spellEnd"/>
      <w:r w:rsidRPr="00ED04AE">
        <w:rPr>
          <w:rFonts w:ascii="Arial" w:hAnsi="Arial" w:cs="Arial"/>
          <w:lang w:val="fr-FR"/>
        </w:rPr>
        <w:t xml:space="preserve"> L, Coppola G, et al. </w:t>
      </w:r>
      <w:r w:rsidRPr="00ED04AE">
        <w:rPr>
          <w:rFonts w:ascii="Arial" w:hAnsi="Arial" w:cs="Arial"/>
        </w:rPr>
        <w:t xml:space="preserve">A randomized controlled trial of coenzyme Q10 in migraine prophylaxis. </w:t>
      </w:r>
      <w:r w:rsidRPr="00ED04AE">
        <w:rPr>
          <w:rFonts w:ascii="Arial" w:hAnsi="Arial" w:cs="Arial"/>
          <w:i/>
          <w:iCs/>
        </w:rPr>
        <w:t>Neurology</w:t>
      </w:r>
      <w:r w:rsidRPr="00ED04AE">
        <w:rPr>
          <w:rFonts w:ascii="Arial" w:hAnsi="Arial" w:cs="Arial"/>
        </w:rPr>
        <w:t xml:space="preserve"> 2005;64:713-5.</w:t>
      </w:r>
    </w:p>
    <w:p w:rsidR="00ED04AE" w:rsidRPr="00ED04AE" w:rsidRDefault="00ED04AE" w:rsidP="00ED04AE">
      <w:pPr>
        <w:pStyle w:val="NoSpacing"/>
        <w:ind w:left="-270"/>
        <w:jc w:val="both"/>
        <w:rPr>
          <w:rFonts w:ascii="Arial" w:hAnsi="Arial" w:cs="Arial"/>
        </w:rPr>
      </w:pPr>
    </w:p>
    <w:p w:rsidR="00E75F9D" w:rsidRDefault="00E75F9D" w:rsidP="00ED04AE">
      <w:pPr>
        <w:pStyle w:val="NoSpacing"/>
        <w:ind w:left="-270"/>
        <w:jc w:val="both"/>
        <w:rPr>
          <w:rFonts w:ascii="Arial" w:hAnsi="Arial" w:cs="Arial"/>
          <w:b/>
        </w:rPr>
      </w:pPr>
      <w:r w:rsidRPr="00ED04AE">
        <w:rPr>
          <w:rFonts w:ascii="Arial" w:hAnsi="Arial" w:cs="Arial"/>
          <w:b/>
        </w:rPr>
        <w:t>Feverfew</w:t>
      </w:r>
    </w:p>
    <w:p w:rsidR="00024D1A" w:rsidRPr="00ED04AE" w:rsidRDefault="00024D1A" w:rsidP="00ED04AE">
      <w:pPr>
        <w:pStyle w:val="NoSpacing"/>
        <w:ind w:left="-270"/>
        <w:jc w:val="both"/>
        <w:rPr>
          <w:rFonts w:ascii="Arial" w:hAnsi="Arial" w:cs="Arial"/>
          <w:b/>
        </w:rPr>
      </w:pPr>
    </w:p>
    <w:p w:rsidR="00E75F9D" w:rsidRDefault="00E75F9D" w:rsidP="00ED04AE">
      <w:pPr>
        <w:pStyle w:val="NoSpacing"/>
        <w:ind w:left="-270"/>
        <w:jc w:val="both"/>
        <w:rPr>
          <w:rFonts w:ascii="Arial" w:hAnsi="Arial" w:cs="Arial"/>
        </w:rPr>
      </w:pPr>
      <w:proofErr w:type="spellStart"/>
      <w:r w:rsidRPr="00ED04AE">
        <w:rPr>
          <w:rFonts w:ascii="Arial" w:hAnsi="Arial" w:cs="Arial"/>
        </w:rPr>
        <w:t>Pittler</w:t>
      </w:r>
      <w:proofErr w:type="spellEnd"/>
      <w:r w:rsidRPr="00ED04AE">
        <w:rPr>
          <w:rFonts w:ascii="Arial" w:hAnsi="Arial" w:cs="Arial"/>
        </w:rPr>
        <w:t xml:space="preserve"> MH, Ernst E. </w:t>
      </w:r>
      <w:r w:rsidRPr="00ED04AE">
        <w:rPr>
          <w:rStyle w:val="jrnl"/>
          <w:rFonts w:ascii="Arial" w:eastAsiaTheme="majorEastAsia" w:hAnsi="Arial" w:cs="Arial"/>
          <w:i/>
          <w:szCs w:val="22"/>
          <w:bdr w:val="none" w:sz="0" w:space="0" w:color="auto" w:frame="1"/>
        </w:rPr>
        <w:t xml:space="preserve">Cochrane Database </w:t>
      </w:r>
      <w:proofErr w:type="spellStart"/>
      <w:r w:rsidRPr="00ED04AE">
        <w:rPr>
          <w:rStyle w:val="jrnl"/>
          <w:rFonts w:ascii="Arial" w:eastAsiaTheme="majorEastAsia" w:hAnsi="Arial" w:cs="Arial"/>
          <w:i/>
          <w:szCs w:val="22"/>
          <w:bdr w:val="none" w:sz="0" w:space="0" w:color="auto" w:frame="1"/>
        </w:rPr>
        <w:t>Syst</w:t>
      </w:r>
      <w:proofErr w:type="spellEnd"/>
      <w:r w:rsidRPr="00ED04AE">
        <w:rPr>
          <w:rStyle w:val="jrnl"/>
          <w:rFonts w:ascii="Arial" w:eastAsiaTheme="majorEastAsia" w:hAnsi="Arial" w:cs="Arial"/>
          <w:i/>
          <w:szCs w:val="22"/>
          <w:bdr w:val="none" w:sz="0" w:space="0" w:color="auto" w:frame="1"/>
        </w:rPr>
        <w:t xml:space="preserve"> Rev</w:t>
      </w:r>
      <w:r w:rsidRPr="00ED04AE">
        <w:rPr>
          <w:rFonts w:ascii="Arial" w:hAnsi="Arial" w:cs="Arial"/>
          <w:i/>
        </w:rPr>
        <w:t>.</w:t>
      </w:r>
      <w:r w:rsidRPr="00ED04AE">
        <w:rPr>
          <w:rFonts w:ascii="Arial" w:hAnsi="Arial" w:cs="Arial"/>
        </w:rPr>
        <w:t xml:space="preserve"> 2004;(1):CD002286.</w:t>
      </w:r>
    </w:p>
    <w:p w:rsidR="009274D6" w:rsidRDefault="009274D6" w:rsidP="00ED04AE">
      <w:pPr>
        <w:pStyle w:val="NoSpacing"/>
        <w:ind w:left="-270"/>
        <w:jc w:val="both"/>
        <w:rPr>
          <w:rFonts w:ascii="Arial" w:hAnsi="Arial" w:cs="Arial"/>
        </w:rPr>
      </w:pPr>
    </w:p>
    <w:p w:rsidR="009274D6" w:rsidRPr="009274D6" w:rsidRDefault="009274D6" w:rsidP="009274D6">
      <w:pPr>
        <w:autoSpaceDE w:val="0"/>
        <w:autoSpaceDN w:val="0"/>
        <w:adjustRightInd w:val="0"/>
        <w:ind w:left="-270"/>
        <w:rPr>
          <w:rFonts w:ascii="Arial" w:eastAsiaTheme="minorHAnsi" w:hAnsi="Arial" w:cs="Arial"/>
        </w:rPr>
      </w:pPr>
      <w:proofErr w:type="spellStart"/>
      <w:r w:rsidRPr="009274D6">
        <w:rPr>
          <w:rFonts w:ascii="Arial" w:eastAsiaTheme="minorHAnsi" w:hAnsi="Arial" w:cs="Arial"/>
        </w:rPr>
        <w:t>Saranitzky</w:t>
      </w:r>
      <w:proofErr w:type="spellEnd"/>
      <w:r w:rsidRPr="009274D6">
        <w:rPr>
          <w:rFonts w:ascii="Arial" w:eastAsiaTheme="minorHAnsi" w:hAnsi="Arial" w:cs="Arial"/>
        </w:rPr>
        <w:t xml:space="preserve"> E, White CM, Baker EL, et al.</w:t>
      </w:r>
      <w:r>
        <w:rPr>
          <w:rFonts w:ascii="Arial" w:eastAsiaTheme="minorHAnsi" w:hAnsi="Arial" w:cs="Arial"/>
        </w:rPr>
        <w:t xml:space="preserve"> </w:t>
      </w:r>
      <w:r w:rsidRPr="009274D6">
        <w:rPr>
          <w:rFonts w:ascii="Arial" w:eastAsiaTheme="minorHAnsi" w:hAnsi="Arial" w:cs="Arial"/>
        </w:rPr>
        <w:t>Fever</w:t>
      </w:r>
      <w:r>
        <w:rPr>
          <w:rFonts w:ascii="Arial" w:eastAsiaTheme="minorHAnsi" w:hAnsi="Arial" w:cs="Arial"/>
        </w:rPr>
        <w:t xml:space="preserve">few for migraine prophylaxis: </w:t>
      </w:r>
      <w:proofErr w:type="spellStart"/>
      <w:r>
        <w:rPr>
          <w:rFonts w:ascii="Arial" w:eastAsiaTheme="minorHAnsi" w:hAnsi="Arial" w:cs="Arial"/>
        </w:rPr>
        <w:t>a</w:t>
      </w:r>
      <w:r w:rsidRPr="009274D6">
        <w:rPr>
          <w:rFonts w:ascii="Arial" w:eastAsiaTheme="minorHAnsi" w:hAnsi="Arial" w:cs="Arial"/>
        </w:rPr>
        <w:t>systematic</w:t>
      </w:r>
      <w:proofErr w:type="spellEnd"/>
      <w:r w:rsidRPr="009274D6">
        <w:rPr>
          <w:rFonts w:ascii="Arial" w:eastAsiaTheme="minorHAnsi" w:hAnsi="Arial" w:cs="Arial"/>
        </w:rPr>
        <w:t xml:space="preserve"> </w:t>
      </w:r>
      <w:r>
        <w:rPr>
          <w:rFonts w:ascii="Arial" w:eastAsiaTheme="minorHAnsi" w:hAnsi="Arial" w:cs="Arial"/>
        </w:rPr>
        <w:t xml:space="preserve">review. J Diet </w:t>
      </w:r>
      <w:proofErr w:type="spellStart"/>
      <w:r>
        <w:rPr>
          <w:rFonts w:ascii="Arial" w:eastAsiaTheme="minorHAnsi" w:hAnsi="Arial" w:cs="Arial"/>
        </w:rPr>
        <w:t>Suppl</w:t>
      </w:r>
      <w:proofErr w:type="spellEnd"/>
      <w:r>
        <w:rPr>
          <w:rFonts w:ascii="Arial" w:eastAsiaTheme="minorHAnsi" w:hAnsi="Arial" w:cs="Arial"/>
        </w:rPr>
        <w:t xml:space="preserve"> 2009;6(2):</w:t>
      </w:r>
      <w:r w:rsidRPr="009274D6">
        <w:rPr>
          <w:rFonts w:ascii="Arial" w:eastAsiaTheme="minorHAnsi" w:hAnsi="Arial" w:cs="Arial"/>
        </w:rPr>
        <w:t>91Y103.</w:t>
      </w:r>
    </w:p>
    <w:p w:rsidR="00ED04AE" w:rsidRPr="00ED04AE" w:rsidRDefault="00ED04AE" w:rsidP="00ED04AE">
      <w:pPr>
        <w:pStyle w:val="NoSpacing"/>
        <w:ind w:left="-270"/>
        <w:jc w:val="both"/>
        <w:rPr>
          <w:rFonts w:ascii="Arial" w:hAnsi="Arial" w:cs="Arial"/>
        </w:rPr>
      </w:pPr>
    </w:p>
    <w:p w:rsidR="00E75F9D" w:rsidRDefault="00E75F9D" w:rsidP="00ED04AE">
      <w:pPr>
        <w:pStyle w:val="NoSpacing"/>
        <w:ind w:left="-270"/>
        <w:jc w:val="both"/>
        <w:rPr>
          <w:rFonts w:ascii="Arial" w:hAnsi="Arial" w:cs="Arial"/>
          <w:b/>
        </w:rPr>
      </w:pPr>
      <w:proofErr w:type="spellStart"/>
      <w:r w:rsidRPr="00ED04AE">
        <w:rPr>
          <w:rFonts w:ascii="Arial" w:hAnsi="Arial" w:cs="Arial"/>
          <w:b/>
        </w:rPr>
        <w:t>Petasites</w:t>
      </w:r>
      <w:proofErr w:type="spellEnd"/>
    </w:p>
    <w:p w:rsidR="00024D1A" w:rsidRPr="00ED04AE" w:rsidRDefault="00024D1A" w:rsidP="00ED04AE">
      <w:pPr>
        <w:pStyle w:val="NoSpacing"/>
        <w:ind w:left="-270"/>
        <w:jc w:val="both"/>
        <w:rPr>
          <w:rFonts w:ascii="Arial" w:hAnsi="Arial" w:cs="Arial"/>
          <w:b/>
        </w:rPr>
      </w:pPr>
    </w:p>
    <w:p w:rsidR="00CA10EB" w:rsidRPr="00CA10EB" w:rsidRDefault="00CA10EB" w:rsidP="00CA10EB">
      <w:pPr>
        <w:autoSpaceDE w:val="0"/>
        <w:autoSpaceDN w:val="0"/>
        <w:adjustRightInd w:val="0"/>
        <w:ind w:left="-270"/>
        <w:rPr>
          <w:rFonts w:ascii="Arial" w:eastAsiaTheme="minorHAnsi" w:hAnsi="Arial" w:cs="Arial"/>
        </w:rPr>
      </w:pPr>
      <w:r w:rsidRPr="00CA10EB">
        <w:rPr>
          <w:rFonts w:ascii="Arial" w:eastAsiaTheme="minorHAnsi" w:hAnsi="Arial" w:cs="Arial"/>
        </w:rPr>
        <w:t>Medicines and Healthcare Products Regulatory</w:t>
      </w:r>
      <w:r>
        <w:rPr>
          <w:rFonts w:ascii="Arial" w:eastAsiaTheme="minorHAnsi" w:hAnsi="Arial" w:cs="Arial"/>
        </w:rPr>
        <w:t xml:space="preserve"> </w:t>
      </w:r>
      <w:r w:rsidRPr="00CA10EB">
        <w:rPr>
          <w:rFonts w:ascii="Arial" w:eastAsiaTheme="minorHAnsi" w:hAnsi="Arial" w:cs="Arial"/>
        </w:rPr>
        <w:t>Agency. Consumers are advised not to take unlicensed</w:t>
      </w:r>
      <w:r>
        <w:rPr>
          <w:rFonts w:ascii="Arial" w:eastAsiaTheme="minorHAnsi" w:hAnsi="Arial" w:cs="Arial"/>
        </w:rPr>
        <w:t xml:space="preserve"> butterbur (</w:t>
      </w:r>
      <w:proofErr w:type="spellStart"/>
      <w:r>
        <w:rPr>
          <w:rFonts w:ascii="Arial" w:eastAsiaTheme="minorHAnsi" w:hAnsi="Arial" w:cs="Arial"/>
        </w:rPr>
        <w:t>Petasites</w:t>
      </w:r>
      <w:proofErr w:type="spellEnd"/>
      <w:r>
        <w:rPr>
          <w:rFonts w:ascii="Arial" w:eastAsiaTheme="minorHAnsi" w:hAnsi="Arial" w:cs="Arial"/>
        </w:rPr>
        <w:t xml:space="preserve"> </w:t>
      </w:r>
      <w:proofErr w:type="spellStart"/>
      <w:r>
        <w:rPr>
          <w:rFonts w:ascii="Arial" w:eastAsiaTheme="minorHAnsi" w:hAnsi="Arial" w:cs="Arial"/>
        </w:rPr>
        <w:t>hybridus</w:t>
      </w:r>
      <w:proofErr w:type="spellEnd"/>
      <w:r>
        <w:rPr>
          <w:rFonts w:ascii="Arial" w:eastAsiaTheme="minorHAnsi" w:hAnsi="Arial" w:cs="Arial"/>
        </w:rPr>
        <w:t xml:space="preserve">) </w:t>
      </w:r>
      <w:r w:rsidRPr="00CA10EB">
        <w:rPr>
          <w:rFonts w:ascii="Arial" w:eastAsiaTheme="minorHAnsi" w:hAnsi="Arial" w:cs="Arial"/>
        </w:rPr>
        <w:t xml:space="preserve">herbal remedies. </w:t>
      </w:r>
      <w:proofErr w:type="spellStart"/>
      <w:r w:rsidRPr="00CA10EB">
        <w:rPr>
          <w:rFonts w:ascii="Arial" w:eastAsiaTheme="minorHAnsi" w:hAnsi="Arial" w:cs="Arial"/>
        </w:rPr>
        <w:t>webarchive.nationalarchives</w:t>
      </w:r>
      <w:proofErr w:type="spellEnd"/>
      <w:r w:rsidRPr="00CA10EB">
        <w:rPr>
          <w:rFonts w:ascii="Arial" w:eastAsiaTheme="minorHAnsi" w:hAnsi="Arial" w:cs="Arial"/>
        </w:rPr>
        <w:t>.</w:t>
      </w:r>
    </w:p>
    <w:p w:rsidR="00CA10EB" w:rsidRPr="00CA10EB" w:rsidRDefault="00CA10EB" w:rsidP="00CA10EB">
      <w:pPr>
        <w:autoSpaceDE w:val="0"/>
        <w:autoSpaceDN w:val="0"/>
        <w:adjustRightInd w:val="0"/>
        <w:ind w:left="-270"/>
        <w:rPr>
          <w:rFonts w:ascii="Arial" w:eastAsiaTheme="minorHAnsi" w:hAnsi="Arial" w:cs="Arial"/>
        </w:rPr>
      </w:pPr>
      <w:r w:rsidRPr="00CA10EB">
        <w:rPr>
          <w:rFonts w:ascii="Arial" w:eastAsiaTheme="minorHAnsi" w:hAnsi="Arial" w:cs="Arial"/>
        </w:rPr>
        <w:t>go</w:t>
      </w:r>
      <w:r>
        <w:rPr>
          <w:rFonts w:ascii="Arial" w:eastAsiaTheme="minorHAnsi" w:hAnsi="Arial" w:cs="Arial"/>
        </w:rPr>
        <w:t xml:space="preserve">v.uk/20141205150130/http://www. </w:t>
      </w:r>
      <w:r w:rsidRPr="00CA10EB">
        <w:rPr>
          <w:rFonts w:ascii="Arial" w:eastAsiaTheme="minorHAnsi" w:hAnsi="Arial" w:cs="Arial"/>
        </w:rPr>
        <w:t>mhra.gov.uk/</w:t>
      </w:r>
      <w:proofErr w:type="spellStart"/>
      <w:r w:rsidRPr="00CA10EB">
        <w:rPr>
          <w:rFonts w:ascii="Arial" w:eastAsiaTheme="minorHAnsi" w:hAnsi="Arial" w:cs="Arial"/>
        </w:rPr>
        <w:t>Safetyinformation</w:t>
      </w:r>
      <w:proofErr w:type="spellEnd"/>
      <w:r w:rsidRPr="00CA10EB">
        <w:rPr>
          <w:rFonts w:ascii="Arial" w:eastAsiaTheme="minorHAnsi" w:hAnsi="Arial" w:cs="Arial"/>
        </w:rPr>
        <w:t>/</w:t>
      </w:r>
    </w:p>
    <w:p w:rsidR="00CA10EB" w:rsidRPr="00CA10EB" w:rsidRDefault="00CA10EB" w:rsidP="00CA10EB">
      <w:pPr>
        <w:autoSpaceDE w:val="0"/>
        <w:autoSpaceDN w:val="0"/>
        <w:adjustRightInd w:val="0"/>
        <w:ind w:left="-270"/>
        <w:rPr>
          <w:rFonts w:ascii="Arial" w:eastAsiaTheme="minorHAnsi" w:hAnsi="Arial" w:cs="Arial"/>
        </w:rPr>
      </w:pPr>
      <w:proofErr w:type="spellStart"/>
      <w:r w:rsidRPr="00CA10EB">
        <w:rPr>
          <w:rFonts w:ascii="Arial" w:eastAsiaTheme="minorHAnsi" w:hAnsi="Arial" w:cs="Arial"/>
        </w:rPr>
        <w:t>Gen</w:t>
      </w:r>
      <w:r>
        <w:rPr>
          <w:rFonts w:ascii="Arial" w:eastAsiaTheme="minorHAnsi" w:hAnsi="Arial" w:cs="Arial"/>
        </w:rPr>
        <w:t>eralsafetyinformationandadvice</w:t>
      </w:r>
      <w:proofErr w:type="spellEnd"/>
      <w:r>
        <w:rPr>
          <w:rFonts w:ascii="Arial" w:eastAsiaTheme="minorHAnsi" w:hAnsi="Arial" w:cs="Arial"/>
        </w:rPr>
        <w:t xml:space="preserve">/ </w:t>
      </w:r>
      <w:proofErr w:type="spellStart"/>
      <w:r w:rsidRPr="00CA10EB">
        <w:rPr>
          <w:rFonts w:ascii="Arial" w:eastAsiaTheme="minorHAnsi" w:hAnsi="Arial" w:cs="Arial"/>
        </w:rPr>
        <w:t>Herbalmedicines</w:t>
      </w:r>
      <w:proofErr w:type="spellEnd"/>
      <w:r w:rsidRPr="00CA10EB">
        <w:rPr>
          <w:rFonts w:ascii="Arial" w:eastAsiaTheme="minorHAnsi" w:hAnsi="Arial" w:cs="Arial"/>
        </w:rPr>
        <w:t>/</w:t>
      </w:r>
      <w:proofErr w:type="spellStart"/>
      <w:r w:rsidRPr="00CA10EB">
        <w:rPr>
          <w:rFonts w:ascii="Arial" w:eastAsiaTheme="minorHAnsi" w:hAnsi="Arial" w:cs="Arial"/>
        </w:rPr>
        <w:t>Herbalsafetyupdates</w:t>
      </w:r>
      <w:proofErr w:type="spellEnd"/>
      <w:r w:rsidRPr="00CA10EB">
        <w:rPr>
          <w:rFonts w:ascii="Arial" w:eastAsiaTheme="minorHAnsi" w:hAnsi="Arial" w:cs="Arial"/>
        </w:rPr>
        <w:t>/</w:t>
      </w:r>
    </w:p>
    <w:p w:rsidR="00CA10EB" w:rsidRPr="00CA10EB" w:rsidRDefault="00CA10EB" w:rsidP="00CA10EB">
      <w:pPr>
        <w:autoSpaceDE w:val="0"/>
        <w:autoSpaceDN w:val="0"/>
        <w:adjustRightInd w:val="0"/>
        <w:ind w:left="-270"/>
        <w:rPr>
          <w:rFonts w:ascii="Arial" w:eastAsiaTheme="minorHAnsi" w:hAnsi="Arial" w:cs="Arial"/>
        </w:rPr>
      </w:pPr>
      <w:proofErr w:type="spellStart"/>
      <w:r w:rsidRPr="00CA10EB">
        <w:rPr>
          <w:rFonts w:ascii="Arial" w:eastAsiaTheme="minorHAnsi" w:hAnsi="Arial" w:cs="Arial"/>
        </w:rPr>
        <w:t>Allherbalsafetyupdates</w:t>
      </w:r>
      <w:proofErr w:type="spellEnd"/>
      <w:r w:rsidRPr="00CA10EB">
        <w:rPr>
          <w:rFonts w:ascii="Arial" w:eastAsiaTheme="minorHAnsi" w:hAnsi="Arial" w:cs="Arial"/>
        </w:rPr>
        <w:t>/CON140849</w:t>
      </w:r>
      <w:r>
        <w:rPr>
          <w:rFonts w:ascii="Arial" w:eastAsiaTheme="minorHAnsi" w:hAnsi="Arial" w:cs="Arial"/>
        </w:rPr>
        <w:t xml:space="preserve">. Published </w:t>
      </w:r>
      <w:r w:rsidRPr="00CA10EB">
        <w:rPr>
          <w:rFonts w:ascii="Arial" w:eastAsiaTheme="minorHAnsi" w:hAnsi="Arial" w:cs="Arial"/>
        </w:rPr>
        <w:t>January 27, 2012. Updated February 1, 2012.</w:t>
      </w:r>
    </w:p>
    <w:p w:rsidR="00ED04AE" w:rsidRDefault="00CA10EB" w:rsidP="00CA10EB">
      <w:pPr>
        <w:pStyle w:val="NoSpacing"/>
        <w:ind w:left="-270"/>
        <w:jc w:val="both"/>
        <w:rPr>
          <w:rFonts w:ascii="Arial" w:eastAsiaTheme="minorHAnsi" w:hAnsi="Arial" w:cs="Arial"/>
          <w:szCs w:val="22"/>
        </w:rPr>
      </w:pPr>
      <w:r w:rsidRPr="00CA10EB">
        <w:rPr>
          <w:rFonts w:ascii="Arial" w:eastAsiaTheme="minorHAnsi" w:hAnsi="Arial" w:cs="Arial"/>
          <w:szCs w:val="22"/>
        </w:rPr>
        <w:t xml:space="preserve">Accessed </w:t>
      </w:r>
      <w:r>
        <w:rPr>
          <w:rFonts w:ascii="Arial" w:eastAsiaTheme="minorHAnsi" w:hAnsi="Arial" w:cs="Arial"/>
          <w:szCs w:val="22"/>
        </w:rPr>
        <w:t>January 7, 2017.</w:t>
      </w:r>
    </w:p>
    <w:p w:rsidR="00CA10EB" w:rsidRPr="00CA10EB" w:rsidRDefault="00CA10EB" w:rsidP="00CA10EB">
      <w:pPr>
        <w:pStyle w:val="NoSpacing"/>
        <w:ind w:left="-270"/>
        <w:jc w:val="both"/>
        <w:rPr>
          <w:rFonts w:ascii="Arial" w:hAnsi="Arial" w:cs="Arial"/>
          <w:b/>
          <w:szCs w:val="22"/>
        </w:rPr>
      </w:pPr>
    </w:p>
    <w:p w:rsidR="00E75F9D" w:rsidRDefault="00E75F9D" w:rsidP="00ED04AE">
      <w:pPr>
        <w:pStyle w:val="NoSpacing"/>
        <w:ind w:left="-270"/>
        <w:jc w:val="both"/>
        <w:rPr>
          <w:rFonts w:ascii="Arial" w:hAnsi="Arial" w:cs="Arial"/>
          <w:b/>
        </w:rPr>
      </w:pPr>
      <w:r w:rsidRPr="00ED04AE">
        <w:rPr>
          <w:rFonts w:ascii="Arial" w:hAnsi="Arial" w:cs="Arial"/>
          <w:b/>
        </w:rPr>
        <w:t>Review</w:t>
      </w:r>
      <w:r w:rsidR="00CA10EB">
        <w:rPr>
          <w:rFonts w:ascii="Arial" w:hAnsi="Arial" w:cs="Arial"/>
          <w:b/>
        </w:rPr>
        <w:t>s</w:t>
      </w:r>
    </w:p>
    <w:p w:rsidR="00CA10EB" w:rsidRDefault="00CA10EB" w:rsidP="00ED04AE">
      <w:pPr>
        <w:pStyle w:val="NoSpacing"/>
        <w:ind w:left="-270"/>
        <w:jc w:val="both"/>
        <w:rPr>
          <w:rFonts w:ascii="Arial" w:hAnsi="Arial" w:cs="Arial"/>
          <w:b/>
        </w:rPr>
      </w:pPr>
    </w:p>
    <w:p w:rsidR="00CA10EB" w:rsidRPr="00A77E23" w:rsidRDefault="00CA10EB" w:rsidP="00CA10EB">
      <w:pPr>
        <w:tabs>
          <w:tab w:val="left" w:pos="0"/>
        </w:tabs>
        <w:autoSpaceDE w:val="0"/>
        <w:autoSpaceDN w:val="0"/>
        <w:adjustRightInd w:val="0"/>
        <w:ind w:hanging="270"/>
        <w:rPr>
          <w:rFonts w:ascii="Arial" w:eastAsiaTheme="minorHAnsi" w:hAnsi="Arial" w:cs="Arial"/>
        </w:rPr>
      </w:pPr>
      <w:proofErr w:type="spellStart"/>
      <w:r w:rsidRPr="00A77E23">
        <w:rPr>
          <w:rFonts w:ascii="Arial" w:eastAsiaTheme="minorHAnsi" w:hAnsi="Arial" w:cs="Arial"/>
        </w:rPr>
        <w:t>Pringsheim</w:t>
      </w:r>
      <w:proofErr w:type="spellEnd"/>
      <w:r w:rsidRPr="00A77E23">
        <w:rPr>
          <w:rFonts w:ascii="Arial" w:eastAsiaTheme="minorHAnsi" w:hAnsi="Arial" w:cs="Arial"/>
        </w:rPr>
        <w:t xml:space="preserve"> T, Davenport W, Mackie G, et al.</w:t>
      </w:r>
      <w:r>
        <w:rPr>
          <w:rFonts w:ascii="Arial" w:eastAsiaTheme="minorHAnsi" w:hAnsi="Arial" w:cs="Arial"/>
        </w:rPr>
        <w:t xml:space="preserve"> </w:t>
      </w:r>
      <w:r w:rsidRPr="00A77E23">
        <w:rPr>
          <w:rFonts w:ascii="Arial" w:eastAsiaTheme="minorHAnsi" w:hAnsi="Arial" w:cs="Arial"/>
        </w:rPr>
        <w:t>Canadian Headache Society guideline for</w:t>
      </w:r>
    </w:p>
    <w:p w:rsidR="00CA10EB" w:rsidRPr="00C86700" w:rsidRDefault="00CA10EB" w:rsidP="00CA10EB">
      <w:pPr>
        <w:autoSpaceDE w:val="0"/>
        <w:autoSpaceDN w:val="0"/>
        <w:adjustRightInd w:val="0"/>
        <w:ind w:left="-270"/>
        <w:rPr>
          <w:rFonts w:ascii="Arial" w:eastAsiaTheme="minorHAnsi" w:hAnsi="Arial" w:cs="Arial"/>
        </w:rPr>
      </w:pPr>
      <w:r w:rsidRPr="00A77E23">
        <w:rPr>
          <w:rFonts w:ascii="Arial" w:eastAsiaTheme="minorHAnsi" w:hAnsi="Arial" w:cs="Arial"/>
        </w:rPr>
        <w:t xml:space="preserve">migraine prophylaxis. </w:t>
      </w:r>
      <w:r w:rsidRPr="00C86700">
        <w:rPr>
          <w:rFonts w:ascii="Arial" w:eastAsiaTheme="minorHAnsi" w:hAnsi="Arial" w:cs="Arial"/>
          <w:i/>
        </w:rPr>
        <w:t xml:space="preserve">Can J </w:t>
      </w:r>
      <w:proofErr w:type="spellStart"/>
      <w:r w:rsidRPr="00C86700">
        <w:rPr>
          <w:rFonts w:ascii="Arial" w:eastAsiaTheme="minorHAnsi" w:hAnsi="Arial" w:cs="Arial"/>
          <w:i/>
        </w:rPr>
        <w:t>Neurol</w:t>
      </w:r>
      <w:proofErr w:type="spellEnd"/>
      <w:r w:rsidRPr="00C86700">
        <w:rPr>
          <w:rFonts w:ascii="Arial" w:eastAsiaTheme="minorHAnsi" w:hAnsi="Arial" w:cs="Arial"/>
          <w:i/>
        </w:rPr>
        <w:t xml:space="preserve"> </w:t>
      </w:r>
      <w:proofErr w:type="spellStart"/>
      <w:r w:rsidRPr="00C86700">
        <w:rPr>
          <w:rFonts w:ascii="Arial" w:eastAsiaTheme="minorHAnsi" w:hAnsi="Arial" w:cs="Arial"/>
          <w:i/>
        </w:rPr>
        <w:t>Sci</w:t>
      </w:r>
      <w:proofErr w:type="spellEnd"/>
      <w:r>
        <w:rPr>
          <w:rFonts w:ascii="Arial" w:eastAsiaTheme="minorHAnsi" w:hAnsi="Arial" w:cs="Arial"/>
        </w:rPr>
        <w:t xml:space="preserve"> </w:t>
      </w:r>
      <w:r w:rsidRPr="00A77E23">
        <w:rPr>
          <w:rFonts w:ascii="Arial" w:eastAsiaTheme="minorHAnsi" w:hAnsi="Arial" w:cs="Arial"/>
        </w:rPr>
        <w:t xml:space="preserve">2012;39(2 </w:t>
      </w:r>
      <w:proofErr w:type="spellStart"/>
      <w:r w:rsidRPr="00A77E23">
        <w:rPr>
          <w:rFonts w:ascii="Arial" w:eastAsiaTheme="minorHAnsi" w:hAnsi="Arial" w:cs="Arial"/>
        </w:rPr>
        <w:t>suppl</w:t>
      </w:r>
      <w:proofErr w:type="spellEnd"/>
      <w:r w:rsidRPr="00A77E23">
        <w:rPr>
          <w:rFonts w:ascii="Arial" w:eastAsiaTheme="minorHAnsi" w:hAnsi="Arial" w:cs="Arial"/>
        </w:rPr>
        <w:t xml:space="preserve"> 2):S1YS59.</w:t>
      </w:r>
    </w:p>
    <w:p w:rsidR="00CA10EB" w:rsidRDefault="00CA10EB" w:rsidP="00ED04AE">
      <w:pPr>
        <w:pStyle w:val="NoSpacing"/>
        <w:ind w:left="-270"/>
        <w:jc w:val="both"/>
        <w:rPr>
          <w:rFonts w:ascii="Arial" w:hAnsi="Arial" w:cs="Arial"/>
          <w:b/>
        </w:rPr>
      </w:pPr>
    </w:p>
    <w:p w:rsidR="00024D1A" w:rsidRPr="00ED04AE" w:rsidRDefault="00024D1A" w:rsidP="00ED04AE">
      <w:pPr>
        <w:pStyle w:val="NoSpacing"/>
        <w:ind w:left="-270"/>
        <w:jc w:val="both"/>
        <w:rPr>
          <w:rFonts w:ascii="Arial" w:hAnsi="Arial" w:cs="Arial"/>
          <w:b/>
        </w:rPr>
      </w:pPr>
    </w:p>
    <w:p w:rsidR="00E75F9D" w:rsidRPr="00CA10EB" w:rsidRDefault="00CA10EB" w:rsidP="00CA10EB">
      <w:pPr>
        <w:autoSpaceDE w:val="0"/>
        <w:autoSpaceDN w:val="0"/>
        <w:adjustRightInd w:val="0"/>
        <w:ind w:left="-270"/>
        <w:rPr>
          <w:rFonts w:ascii="Arial" w:eastAsiaTheme="minorHAnsi" w:hAnsi="Arial" w:cs="Arial"/>
        </w:rPr>
      </w:pPr>
      <w:r w:rsidRPr="00CA10EB">
        <w:rPr>
          <w:rFonts w:ascii="Arial" w:hAnsi="Arial" w:cs="Arial"/>
        </w:rPr>
        <w:t xml:space="preserve">Tepper SJ. </w:t>
      </w:r>
      <w:r w:rsidRPr="00CA10EB">
        <w:rPr>
          <w:rFonts w:ascii="Arial" w:eastAsiaTheme="minorHAnsi" w:hAnsi="Arial" w:cs="Arial"/>
        </w:rPr>
        <w:t>Nutraceutical and Other</w:t>
      </w:r>
      <w:r>
        <w:rPr>
          <w:rFonts w:ascii="Arial" w:eastAsiaTheme="minorHAnsi" w:hAnsi="Arial" w:cs="Arial"/>
        </w:rPr>
        <w:t xml:space="preserve"> Modalities for the </w:t>
      </w:r>
      <w:r w:rsidRPr="00CA10EB">
        <w:rPr>
          <w:rFonts w:ascii="Arial" w:eastAsiaTheme="minorHAnsi" w:hAnsi="Arial" w:cs="Arial"/>
        </w:rPr>
        <w:t xml:space="preserve">Treatment of Headache. </w:t>
      </w:r>
      <w:r w:rsidRPr="00CA10EB">
        <w:rPr>
          <w:rFonts w:ascii="Arial" w:eastAsiaTheme="minorHAnsi" w:hAnsi="Arial" w:cs="Arial"/>
          <w:i/>
        </w:rPr>
        <w:t>Neurology Continuum</w:t>
      </w:r>
      <w:r>
        <w:rPr>
          <w:rFonts w:ascii="Arial" w:eastAsiaTheme="minorHAnsi" w:hAnsi="Arial" w:cs="Arial"/>
        </w:rPr>
        <w:t xml:space="preserve"> (</w:t>
      </w:r>
      <w:proofErr w:type="spellStart"/>
      <w:r>
        <w:rPr>
          <w:rFonts w:ascii="Arial" w:eastAsiaTheme="minorHAnsi" w:hAnsi="Arial" w:cs="Arial"/>
        </w:rPr>
        <w:t>Minneap</w:t>
      </w:r>
      <w:proofErr w:type="spellEnd"/>
      <w:r>
        <w:rPr>
          <w:rFonts w:ascii="Arial" w:eastAsiaTheme="minorHAnsi" w:hAnsi="Arial" w:cs="Arial"/>
        </w:rPr>
        <w:t xml:space="preserve"> </w:t>
      </w:r>
      <w:proofErr w:type="spellStart"/>
      <w:r>
        <w:rPr>
          <w:rFonts w:ascii="Arial" w:eastAsiaTheme="minorHAnsi" w:hAnsi="Arial" w:cs="Arial"/>
        </w:rPr>
        <w:t>Minn</w:t>
      </w:r>
      <w:proofErr w:type="spellEnd"/>
      <w:r>
        <w:rPr>
          <w:rFonts w:ascii="Arial" w:eastAsiaTheme="minorHAnsi" w:hAnsi="Arial" w:cs="Arial"/>
        </w:rPr>
        <w:t>) 2015;21</w:t>
      </w:r>
      <w:r w:rsidRPr="00CA10EB">
        <w:rPr>
          <w:rFonts w:ascii="Arial" w:eastAsiaTheme="minorHAnsi" w:hAnsi="Arial" w:cs="Arial"/>
        </w:rPr>
        <w:t>:1018–1031.</w:t>
      </w:r>
    </w:p>
    <w:p w:rsidR="0035373D" w:rsidRPr="00CA10EB" w:rsidRDefault="0035373D" w:rsidP="00ED04AE">
      <w:pPr>
        <w:pStyle w:val="NoSpacing"/>
        <w:jc w:val="both"/>
        <w:rPr>
          <w:rFonts w:ascii="Arial" w:hAnsi="Arial" w:cs="Arial"/>
          <w:szCs w:val="22"/>
        </w:rPr>
      </w:pPr>
    </w:p>
    <w:sectPr w:rsidR="0035373D" w:rsidRPr="00CA10EB" w:rsidSect="0035373D">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B7" w:rsidRDefault="006B77B7" w:rsidP="0035373D">
      <w:r>
        <w:separator/>
      </w:r>
    </w:p>
  </w:endnote>
  <w:endnote w:type="continuationSeparator" w:id="0">
    <w:p w:rsidR="006B77B7" w:rsidRDefault="006B77B7" w:rsidP="003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9D" w:rsidRDefault="00E75F9D">
    <w:pPr>
      <w:pStyle w:val="Footer"/>
    </w:pPr>
    <w:r>
      <w:rPr>
        <w:noProof/>
      </w:rPr>
      <w:drawing>
        <wp:inline distT="0" distB="0" distL="0" distR="0">
          <wp:extent cx="5943600" cy="156207"/>
          <wp:effectExtent l="19050" t="0" r="0" b="0"/>
          <wp:docPr id="4" name="Picture 4" descr="C:\Users\eadjemian\AppData\Local\Microsoft\Windows\Temporary Internet Files\Content.Word\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djemian\AppData\Local\Microsoft\Windows\Temporary Internet Files\Content.Word\INfo 2.jpg"/>
                  <pic:cNvPicPr>
                    <a:picLocks noChangeAspect="1" noChangeArrowheads="1"/>
                  </pic:cNvPicPr>
                </pic:nvPicPr>
                <pic:blipFill>
                  <a:blip r:embed="rId1"/>
                  <a:srcRect/>
                  <a:stretch>
                    <a:fillRect/>
                  </a:stretch>
                </pic:blipFill>
                <pic:spPr bwMode="auto">
                  <a:xfrm>
                    <a:off x="0" y="0"/>
                    <a:ext cx="5943600" cy="1562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B7" w:rsidRDefault="006B77B7" w:rsidP="0035373D">
      <w:r>
        <w:separator/>
      </w:r>
    </w:p>
  </w:footnote>
  <w:footnote w:type="continuationSeparator" w:id="0">
    <w:p w:rsidR="006B77B7" w:rsidRDefault="006B77B7" w:rsidP="0035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407"/>
    <w:multiLevelType w:val="hybridMultilevel"/>
    <w:tmpl w:val="6C96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735"/>
    <w:multiLevelType w:val="hybridMultilevel"/>
    <w:tmpl w:val="2E4CA5B4"/>
    <w:lvl w:ilvl="0" w:tplc="C5281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372381"/>
    <w:multiLevelType w:val="hybridMultilevel"/>
    <w:tmpl w:val="8A4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029DB"/>
    <w:multiLevelType w:val="hybridMultilevel"/>
    <w:tmpl w:val="D6F85FAC"/>
    <w:lvl w:ilvl="0" w:tplc="DFFC54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96B71"/>
    <w:multiLevelType w:val="hybridMultilevel"/>
    <w:tmpl w:val="CAEA1EE4"/>
    <w:lvl w:ilvl="0" w:tplc="7220B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9641D"/>
    <w:multiLevelType w:val="hybridMultilevel"/>
    <w:tmpl w:val="FCBA3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86372C"/>
    <w:multiLevelType w:val="hybridMultilevel"/>
    <w:tmpl w:val="A09E3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96B17"/>
    <w:multiLevelType w:val="hybridMultilevel"/>
    <w:tmpl w:val="9F7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A3181"/>
    <w:multiLevelType w:val="hybridMultilevel"/>
    <w:tmpl w:val="DD6E52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D47070"/>
    <w:multiLevelType w:val="hybridMultilevel"/>
    <w:tmpl w:val="D6E49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734BD"/>
    <w:multiLevelType w:val="hybridMultilevel"/>
    <w:tmpl w:val="A9BE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B6A66"/>
    <w:multiLevelType w:val="hybridMultilevel"/>
    <w:tmpl w:val="241A7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B372A8"/>
    <w:multiLevelType w:val="hybridMultilevel"/>
    <w:tmpl w:val="6560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8261B"/>
    <w:multiLevelType w:val="hybridMultilevel"/>
    <w:tmpl w:val="101A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F2724"/>
    <w:multiLevelType w:val="hybridMultilevel"/>
    <w:tmpl w:val="ADD2D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B7F17"/>
    <w:multiLevelType w:val="hybridMultilevel"/>
    <w:tmpl w:val="BD8C52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5C66F3"/>
    <w:multiLevelType w:val="hybridMultilevel"/>
    <w:tmpl w:val="8BA0E7FC"/>
    <w:lvl w:ilvl="0" w:tplc="CBE80D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4219B"/>
    <w:multiLevelType w:val="hybridMultilevel"/>
    <w:tmpl w:val="616A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EB1DB7"/>
    <w:multiLevelType w:val="hybridMultilevel"/>
    <w:tmpl w:val="75B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21BCD"/>
    <w:multiLevelType w:val="hybridMultilevel"/>
    <w:tmpl w:val="990C0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7"/>
  </w:num>
  <w:num w:numId="4">
    <w:abstractNumId w:val="11"/>
  </w:num>
  <w:num w:numId="5">
    <w:abstractNumId w:val="4"/>
  </w:num>
  <w:num w:numId="6">
    <w:abstractNumId w:val="5"/>
  </w:num>
  <w:num w:numId="7">
    <w:abstractNumId w:val="15"/>
  </w:num>
  <w:num w:numId="8">
    <w:abstractNumId w:val="8"/>
  </w:num>
  <w:num w:numId="9">
    <w:abstractNumId w:val="19"/>
  </w:num>
  <w:num w:numId="10">
    <w:abstractNumId w:val="6"/>
  </w:num>
  <w:num w:numId="11">
    <w:abstractNumId w:val="13"/>
  </w:num>
  <w:num w:numId="12">
    <w:abstractNumId w:val="0"/>
  </w:num>
  <w:num w:numId="13">
    <w:abstractNumId w:val="18"/>
  </w:num>
  <w:num w:numId="14">
    <w:abstractNumId w:val="9"/>
  </w:num>
  <w:num w:numId="15">
    <w:abstractNumId w:val="10"/>
  </w:num>
  <w:num w:numId="16">
    <w:abstractNumId w:val="16"/>
  </w:num>
  <w:num w:numId="17">
    <w:abstractNumId w:val="2"/>
  </w:num>
  <w:num w:numId="18">
    <w:abstractNumId w:val="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3D"/>
    <w:rsid w:val="00024D1A"/>
    <w:rsid w:val="000F09BF"/>
    <w:rsid w:val="0011700D"/>
    <w:rsid w:val="0012252A"/>
    <w:rsid w:val="0012426E"/>
    <w:rsid w:val="0014610F"/>
    <w:rsid w:val="001B0064"/>
    <w:rsid w:val="001C48CD"/>
    <w:rsid w:val="002820EB"/>
    <w:rsid w:val="002C7BCA"/>
    <w:rsid w:val="0031340A"/>
    <w:rsid w:val="003243DE"/>
    <w:rsid w:val="0035373D"/>
    <w:rsid w:val="00375EBE"/>
    <w:rsid w:val="00381304"/>
    <w:rsid w:val="003D2603"/>
    <w:rsid w:val="003F0B6F"/>
    <w:rsid w:val="00415681"/>
    <w:rsid w:val="00440BA7"/>
    <w:rsid w:val="004B6762"/>
    <w:rsid w:val="00521925"/>
    <w:rsid w:val="005A0AC9"/>
    <w:rsid w:val="005C259A"/>
    <w:rsid w:val="006B77B7"/>
    <w:rsid w:val="00715F77"/>
    <w:rsid w:val="00765C78"/>
    <w:rsid w:val="008E0E32"/>
    <w:rsid w:val="00926DC2"/>
    <w:rsid w:val="009274D6"/>
    <w:rsid w:val="0094352C"/>
    <w:rsid w:val="009775D9"/>
    <w:rsid w:val="009942D6"/>
    <w:rsid w:val="009C0DE3"/>
    <w:rsid w:val="009D5B50"/>
    <w:rsid w:val="00A171CD"/>
    <w:rsid w:val="00A527F9"/>
    <w:rsid w:val="00A67200"/>
    <w:rsid w:val="00A77E23"/>
    <w:rsid w:val="00AC42E4"/>
    <w:rsid w:val="00B1141B"/>
    <w:rsid w:val="00B34E59"/>
    <w:rsid w:val="00B3743C"/>
    <w:rsid w:val="00BB2EED"/>
    <w:rsid w:val="00BE1279"/>
    <w:rsid w:val="00BF1AF0"/>
    <w:rsid w:val="00C13B14"/>
    <w:rsid w:val="00C13EF4"/>
    <w:rsid w:val="00C27663"/>
    <w:rsid w:val="00C86700"/>
    <w:rsid w:val="00C90E2F"/>
    <w:rsid w:val="00C9142F"/>
    <w:rsid w:val="00CA10EB"/>
    <w:rsid w:val="00CC471D"/>
    <w:rsid w:val="00CE2687"/>
    <w:rsid w:val="00CF142A"/>
    <w:rsid w:val="00D0004F"/>
    <w:rsid w:val="00DC146D"/>
    <w:rsid w:val="00E25792"/>
    <w:rsid w:val="00E75F9D"/>
    <w:rsid w:val="00EA1827"/>
    <w:rsid w:val="00ED04AE"/>
    <w:rsid w:val="00EF545B"/>
    <w:rsid w:val="00F17A94"/>
    <w:rsid w:val="00F706BD"/>
    <w:rsid w:val="00FC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078AF-AEF3-4361-8843-6AA4C31A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63"/>
    <w:pPr>
      <w:spacing w:after="0" w:line="240" w:lineRule="auto"/>
    </w:pPr>
    <w:rPr>
      <w:rFonts w:ascii="Helvetica" w:eastAsia="Times New Roman" w:hAnsi="Helvetica"/>
      <w:lang w:bidi="ar-SA"/>
    </w:rPr>
  </w:style>
  <w:style w:type="paragraph" w:styleId="Heading1">
    <w:name w:val="heading 1"/>
    <w:basedOn w:val="Normal"/>
    <w:next w:val="Normal"/>
    <w:link w:val="Heading1Char"/>
    <w:uiPriority w:val="9"/>
    <w:qFormat/>
    <w:rsid w:val="009C0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0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0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0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0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0DE3"/>
    <w:pPr>
      <w:spacing w:before="240" w:after="60"/>
      <w:outlineLvl w:val="5"/>
    </w:pPr>
    <w:rPr>
      <w:b/>
      <w:bCs/>
    </w:rPr>
  </w:style>
  <w:style w:type="paragraph" w:styleId="Heading7">
    <w:name w:val="heading 7"/>
    <w:basedOn w:val="Normal"/>
    <w:next w:val="Normal"/>
    <w:link w:val="Heading7Char"/>
    <w:uiPriority w:val="9"/>
    <w:semiHidden/>
    <w:unhideWhenUsed/>
    <w:qFormat/>
    <w:rsid w:val="009C0DE3"/>
    <w:pPr>
      <w:spacing w:before="240" w:after="60"/>
      <w:outlineLvl w:val="6"/>
    </w:pPr>
    <w:rPr>
      <w:sz w:val="24"/>
    </w:rPr>
  </w:style>
  <w:style w:type="paragraph" w:styleId="Heading8">
    <w:name w:val="heading 8"/>
    <w:basedOn w:val="Normal"/>
    <w:next w:val="Normal"/>
    <w:link w:val="Heading8Char"/>
    <w:uiPriority w:val="9"/>
    <w:semiHidden/>
    <w:unhideWhenUsed/>
    <w:qFormat/>
    <w:rsid w:val="009C0D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C0DE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0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0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0DE3"/>
    <w:rPr>
      <w:b/>
      <w:bCs/>
      <w:sz w:val="28"/>
      <w:szCs w:val="28"/>
    </w:rPr>
  </w:style>
  <w:style w:type="character" w:customStyle="1" w:styleId="Heading5Char">
    <w:name w:val="Heading 5 Char"/>
    <w:basedOn w:val="DefaultParagraphFont"/>
    <w:link w:val="Heading5"/>
    <w:uiPriority w:val="9"/>
    <w:semiHidden/>
    <w:rsid w:val="009C0DE3"/>
    <w:rPr>
      <w:b/>
      <w:bCs/>
      <w:i/>
      <w:iCs/>
      <w:sz w:val="26"/>
      <w:szCs w:val="26"/>
    </w:rPr>
  </w:style>
  <w:style w:type="character" w:customStyle="1" w:styleId="Heading6Char">
    <w:name w:val="Heading 6 Char"/>
    <w:basedOn w:val="DefaultParagraphFont"/>
    <w:link w:val="Heading6"/>
    <w:uiPriority w:val="9"/>
    <w:semiHidden/>
    <w:rsid w:val="009C0DE3"/>
    <w:rPr>
      <w:b/>
      <w:bCs/>
    </w:rPr>
  </w:style>
  <w:style w:type="character" w:customStyle="1" w:styleId="Heading7Char">
    <w:name w:val="Heading 7 Char"/>
    <w:basedOn w:val="DefaultParagraphFont"/>
    <w:link w:val="Heading7"/>
    <w:uiPriority w:val="9"/>
    <w:semiHidden/>
    <w:rsid w:val="009C0DE3"/>
    <w:rPr>
      <w:sz w:val="24"/>
      <w:szCs w:val="24"/>
    </w:rPr>
  </w:style>
  <w:style w:type="character" w:customStyle="1" w:styleId="Heading8Char">
    <w:name w:val="Heading 8 Char"/>
    <w:basedOn w:val="DefaultParagraphFont"/>
    <w:link w:val="Heading8"/>
    <w:uiPriority w:val="9"/>
    <w:semiHidden/>
    <w:rsid w:val="009C0DE3"/>
    <w:rPr>
      <w:i/>
      <w:iCs/>
      <w:sz w:val="24"/>
      <w:szCs w:val="24"/>
    </w:rPr>
  </w:style>
  <w:style w:type="character" w:customStyle="1" w:styleId="Heading9Char">
    <w:name w:val="Heading 9 Char"/>
    <w:basedOn w:val="DefaultParagraphFont"/>
    <w:link w:val="Heading9"/>
    <w:uiPriority w:val="9"/>
    <w:semiHidden/>
    <w:rsid w:val="009C0DE3"/>
    <w:rPr>
      <w:rFonts w:asciiTheme="majorHAnsi" w:eastAsiaTheme="majorEastAsia" w:hAnsiTheme="majorHAnsi"/>
    </w:rPr>
  </w:style>
  <w:style w:type="paragraph" w:styleId="Title">
    <w:name w:val="Title"/>
    <w:basedOn w:val="Normal"/>
    <w:next w:val="Normal"/>
    <w:link w:val="TitleChar"/>
    <w:uiPriority w:val="10"/>
    <w:qFormat/>
    <w:rsid w:val="009C0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0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0D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0DE3"/>
    <w:rPr>
      <w:rFonts w:asciiTheme="majorHAnsi" w:eastAsiaTheme="majorEastAsia" w:hAnsiTheme="majorHAnsi"/>
      <w:sz w:val="24"/>
      <w:szCs w:val="24"/>
    </w:rPr>
  </w:style>
  <w:style w:type="character" w:styleId="Strong">
    <w:name w:val="Strong"/>
    <w:basedOn w:val="DefaultParagraphFont"/>
    <w:uiPriority w:val="22"/>
    <w:qFormat/>
    <w:rsid w:val="009C0DE3"/>
    <w:rPr>
      <w:b/>
      <w:bCs/>
    </w:rPr>
  </w:style>
  <w:style w:type="character" w:styleId="Emphasis">
    <w:name w:val="Emphasis"/>
    <w:basedOn w:val="DefaultParagraphFont"/>
    <w:uiPriority w:val="20"/>
    <w:qFormat/>
    <w:rsid w:val="009C0DE3"/>
    <w:rPr>
      <w:rFonts w:asciiTheme="minorHAnsi" w:hAnsiTheme="minorHAnsi"/>
      <w:b/>
      <w:i/>
      <w:iCs/>
    </w:rPr>
  </w:style>
  <w:style w:type="paragraph" w:styleId="NoSpacing">
    <w:name w:val="No Spacing"/>
    <w:basedOn w:val="Normal"/>
    <w:uiPriority w:val="1"/>
    <w:qFormat/>
    <w:rsid w:val="009C0DE3"/>
    <w:rPr>
      <w:szCs w:val="32"/>
    </w:rPr>
  </w:style>
  <w:style w:type="paragraph" w:styleId="ListParagraph">
    <w:name w:val="List Paragraph"/>
    <w:basedOn w:val="Normal"/>
    <w:uiPriority w:val="99"/>
    <w:qFormat/>
    <w:rsid w:val="009C0DE3"/>
    <w:pPr>
      <w:ind w:left="720"/>
      <w:contextualSpacing/>
    </w:pPr>
  </w:style>
  <w:style w:type="paragraph" w:styleId="Quote">
    <w:name w:val="Quote"/>
    <w:basedOn w:val="Normal"/>
    <w:next w:val="Normal"/>
    <w:link w:val="QuoteChar"/>
    <w:uiPriority w:val="29"/>
    <w:qFormat/>
    <w:rsid w:val="009C0DE3"/>
    <w:rPr>
      <w:i/>
      <w:sz w:val="24"/>
    </w:rPr>
  </w:style>
  <w:style w:type="character" w:customStyle="1" w:styleId="QuoteChar">
    <w:name w:val="Quote Char"/>
    <w:basedOn w:val="DefaultParagraphFont"/>
    <w:link w:val="Quote"/>
    <w:uiPriority w:val="29"/>
    <w:rsid w:val="009C0DE3"/>
    <w:rPr>
      <w:i/>
      <w:sz w:val="24"/>
      <w:szCs w:val="24"/>
    </w:rPr>
  </w:style>
  <w:style w:type="paragraph" w:styleId="IntenseQuote">
    <w:name w:val="Intense Quote"/>
    <w:basedOn w:val="Normal"/>
    <w:next w:val="Normal"/>
    <w:link w:val="IntenseQuoteChar"/>
    <w:uiPriority w:val="30"/>
    <w:qFormat/>
    <w:rsid w:val="009C0DE3"/>
    <w:pPr>
      <w:ind w:left="720" w:right="720"/>
    </w:pPr>
    <w:rPr>
      <w:b/>
      <w:i/>
      <w:sz w:val="24"/>
    </w:rPr>
  </w:style>
  <w:style w:type="character" w:customStyle="1" w:styleId="IntenseQuoteChar">
    <w:name w:val="Intense Quote Char"/>
    <w:basedOn w:val="DefaultParagraphFont"/>
    <w:link w:val="IntenseQuote"/>
    <w:uiPriority w:val="30"/>
    <w:rsid w:val="009C0DE3"/>
    <w:rPr>
      <w:b/>
      <w:i/>
      <w:sz w:val="24"/>
    </w:rPr>
  </w:style>
  <w:style w:type="character" w:styleId="SubtleEmphasis">
    <w:name w:val="Subtle Emphasis"/>
    <w:uiPriority w:val="19"/>
    <w:qFormat/>
    <w:rsid w:val="009C0DE3"/>
    <w:rPr>
      <w:i/>
      <w:color w:val="5A5A5A" w:themeColor="text1" w:themeTint="A5"/>
    </w:rPr>
  </w:style>
  <w:style w:type="character" w:styleId="IntenseEmphasis">
    <w:name w:val="Intense Emphasis"/>
    <w:basedOn w:val="DefaultParagraphFont"/>
    <w:uiPriority w:val="21"/>
    <w:qFormat/>
    <w:rsid w:val="009C0DE3"/>
    <w:rPr>
      <w:b/>
      <w:i/>
      <w:sz w:val="24"/>
      <w:szCs w:val="24"/>
      <w:u w:val="single"/>
    </w:rPr>
  </w:style>
  <w:style w:type="character" w:styleId="SubtleReference">
    <w:name w:val="Subtle Reference"/>
    <w:basedOn w:val="DefaultParagraphFont"/>
    <w:uiPriority w:val="31"/>
    <w:qFormat/>
    <w:rsid w:val="009C0DE3"/>
    <w:rPr>
      <w:sz w:val="24"/>
      <w:szCs w:val="24"/>
      <w:u w:val="single"/>
    </w:rPr>
  </w:style>
  <w:style w:type="character" w:styleId="IntenseReference">
    <w:name w:val="Intense Reference"/>
    <w:basedOn w:val="DefaultParagraphFont"/>
    <w:uiPriority w:val="32"/>
    <w:qFormat/>
    <w:rsid w:val="009C0DE3"/>
    <w:rPr>
      <w:b/>
      <w:sz w:val="24"/>
      <w:u w:val="single"/>
    </w:rPr>
  </w:style>
  <w:style w:type="character" w:styleId="BookTitle">
    <w:name w:val="Book Title"/>
    <w:basedOn w:val="DefaultParagraphFont"/>
    <w:uiPriority w:val="33"/>
    <w:qFormat/>
    <w:rsid w:val="009C0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0DE3"/>
    <w:pPr>
      <w:outlineLvl w:val="9"/>
    </w:pPr>
  </w:style>
  <w:style w:type="paragraph" w:styleId="BalloonText">
    <w:name w:val="Balloon Text"/>
    <w:basedOn w:val="Normal"/>
    <w:link w:val="BalloonTextChar"/>
    <w:uiPriority w:val="99"/>
    <w:semiHidden/>
    <w:unhideWhenUsed/>
    <w:rsid w:val="0035373D"/>
    <w:rPr>
      <w:rFonts w:ascii="Tahoma" w:hAnsi="Tahoma" w:cs="Tahoma"/>
      <w:sz w:val="16"/>
      <w:szCs w:val="16"/>
    </w:rPr>
  </w:style>
  <w:style w:type="character" w:customStyle="1" w:styleId="BalloonTextChar">
    <w:name w:val="Balloon Text Char"/>
    <w:basedOn w:val="DefaultParagraphFont"/>
    <w:link w:val="BalloonText"/>
    <w:uiPriority w:val="99"/>
    <w:semiHidden/>
    <w:rsid w:val="0035373D"/>
    <w:rPr>
      <w:rFonts w:ascii="Tahoma" w:hAnsi="Tahoma" w:cs="Tahoma"/>
      <w:sz w:val="16"/>
      <w:szCs w:val="16"/>
    </w:rPr>
  </w:style>
  <w:style w:type="paragraph" w:styleId="Header">
    <w:name w:val="header"/>
    <w:basedOn w:val="Normal"/>
    <w:link w:val="HeaderChar"/>
    <w:unhideWhenUsed/>
    <w:rsid w:val="0035373D"/>
    <w:pPr>
      <w:tabs>
        <w:tab w:val="center" w:pos="4680"/>
        <w:tab w:val="right" w:pos="9360"/>
      </w:tabs>
    </w:pPr>
  </w:style>
  <w:style w:type="character" w:customStyle="1" w:styleId="HeaderChar">
    <w:name w:val="Header Char"/>
    <w:basedOn w:val="DefaultParagraphFont"/>
    <w:link w:val="Header"/>
    <w:uiPriority w:val="99"/>
    <w:semiHidden/>
    <w:rsid w:val="0035373D"/>
    <w:rPr>
      <w:szCs w:val="24"/>
    </w:rPr>
  </w:style>
  <w:style w:type="paragraph" w:styleId="Footer">
    <w:name w:val="footer"/>
    <w:basedOn w:val="Normal"/>
    <w:link w:val="FooterChar"/>
    <w:uiPriority w:val="99"/>
    <w:semiHidden/>
    <w:unhideWhenUsed/>
    <w:rsid w:val="0035373D"/>
    <w:pPr>
      <w:tabs>
        <w:tab w:val="center" w:pos="4680"/>
        <w:tab w:val="right" w:pos="9360"/>
      </w:tabs>
    </w:pPr>
  </w:style>
  <w:style w:type="character" w:customStyle="1" w:styleId="FooterChar">
    <w:name w:val="Footer Char"/>
    <w:basedOn w:val="DefaultParagraphFont"/>
    <w:link w:val="Footer"/>
    <w:uiPriority w:val="99"/>
    <w:semiHidden/>
    <w:rsid w:val="0035373D"/>
    <w:rPr>
      <w:szCs w:val="24"/>
    </w:rPr>
  </w:style>
  <w:style w:type="character" w:styleId="Hyperlink">
    <w:name w:val="Hyperlink"/>
    <w:basedOn w:val="DefaultParagraphFont"/>
    <w:uiPriority w:val="99"/>
    <w:unhideWhenUsed/>
    <w:rsid w:val="003F0B6F"/>
    <w:rPr>
      <w:color w:val="0000FF" w:themeColor="hyperlink"/>
      <w:u w:val="single"/>
    </w:rPr>
  </w:style>
  <w:style w:type="character" w:customStyle="1" w:styleId="jrnl">
    <w:name w:val="jrnl"/>
    <w:basedOn w:val="DefaultParagraphFont"/>
    <w:rsid w:val="000F09BF"/>
  </w:style>
  <w:style w:type="paragraph" w:styleId="HTMLPreformatted">
    <w:name w:val="HTML Preformatted"/>
    <w:basedOn w:val="Normal"/>
    <w:link w:val="HTMLPreformattedChar"/>
    <w:uiPriority w:val="99"/>
    <w:rsid w:val="0071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5F77"/>
    <w:rPr>
      <w:rFonts w:ascii="Courier New" w:eastAsia="Times New Roman" w:hAnsi="Courier New" w:cs="Courier New"/>
      <w:sz w:val="20"/>
      <w:szCs w:val="20"/>
      <w:lang w:bidi="ar-SA"/>
    </w:rPr>
  </w:style>
  <w:style w:type="character" w:styleId="CommentReference">
    <w:name w:val="annotation reference"/>
    <w:semiHidden/>
    <w:rsid w:val="004B6762"/>
    <w:rPr>
      <w:sz w:val="16"/>
      <w:szCs w:val="16"/>
    </w:rPr>
  </w:style>
  <w:style w:type="character" w:customStyle="1" w:styleId="titles-title">
    <w:name w:val="titles-title"/>
    <w:basedOn w:val="DefaultParagraphFont"/>
    <w:rsid w:val="004B6762"/>
  </w:style>
  <w:style w:type="character" w:customStyle="1" w:styleId="bibrecord-highlight-user">
    <w:name w:val="bibrecord-highlight-user"/>
    <w:basedOn w:val="DefaultParagraphFont"/>
    <w:rsid w:val="004B6762"/>
  </w:style>
  <w:style w:type="character" w:customStyle="1" w:styleId="titles-source">
    <w:name w:val="titles-source"/>
    <w:basedOn w:val="DefaultParagraphFont"/>
    <w:rsid w:val="004B6762"/>
  </w:style>
  <w:style w:type="paragraph" w:styleId="BodyTextIndent">
    <w:name w:val="Body Text Indent"/>
    <w:basedOn w:val="Normal"/>
    <w:link w:val="BodyTextIndentChar"/>
    <w:rsid w:val="00E75F9D"/>
    <w:pPr>
      <w:spacing w:line="480" w:lineRule="auto"/>
      <w:ind w:left="720" w:firstLine="720"/>
    </w:pPr>
    <w:rPr>
      <w:rFonts w:ascii="Times New Roman" w:hAnsi="Times New Roman"/>
      <w:sz w:val="24"/>
      <w:szCs w:val="20"/>
    </w:rPr>
  </w:style>
  <w:style w:type="character" w:customStyle="1" w:styleId="BodyTextIndentChar">
    <w:name w:val="Body Text Indent Char"/>
    <w:basedOn w:val="DefaultParagraphFont"/>
    <w:link w:val="BodyTextIndent"/>
    <w:rsid w:val="00E75F9D"/>
    <w:rPr>
      <w:rFonts w:ascii="Times New Roman" w:eastAsia="Times New Roman" w:hAnsi="Times New Roman"/>
      <w:sz w:val="24"/>
      <w:szCs w:val="20"/>
      <w:lang w:bidi="ar-SA"/>
    </w:rPr>
  </w:style>
  <w:style w:type="paragraph" w:customStyle="1" w:styleId="Title1">
    <w:name w:val="Title1"/>
    <w:basedOn w:val="Normal"/>
    <w:rsid w:val="00E75F9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E75F9D"/>
  </w:style>
  <w:style w:type="character" w:customStyle="1" w:styleId="highlight">
    <w:name w:val="highlight"/>
    <w:rsid w:val="00E7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FAB7-5BE6-40C7-9012-4B14E56A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TMGadmin</dc:creator>
  <cp:lastModifiedBy>Deborah Friedman</cp:lastModifiedBy>
  <cp:revision>2</cp:revision>
  <cp:lastPrinted>2012-12-10T14:10:00Z</cp:lastPrinted>
  <dcterms:created xsi:type="dcterms:W3CDTF">2017-01-11T16:36:00Z</dcterms:created>
  <dcterms:modified xsi:type="dcterms:W3CDTF">2017-01-11T16:36:00Z</dcterms:modified>
</cp:coreProperties>
</file>